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11                                   </w:t>
      </w:r>
      <w:bookmarkStart w:id="3" w:name="_GoBack"/>
      <w:bookmarkEnd w:id="3"/>
      <w:r>
        <w:rPr>
          <w:rFonts w:hint="eastAsia" w:ascii="Arial" w:hAnsi="Arial" w:cs="Arial"/>
          <w:b/>
          <w:sz w:val="24"/>
          <w:szCs w:val="24"/>
          <w:lang w:val="en-US" w:eastAsia="zh-CN"/>
        </w:rPr>
        <w:t>R4-2409087</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cs="Arial"/>
          <w:b/>
          <w:kern w:val="2"/>
          <w:sz w:val="24"/>
          <w:szCs w:val="24"/>
          <w:lang w:val="en-US" w:eastAsia="zh-CN" w:bidi="ar-SA"/>
        </w:rPr>
        <w:t>Fukuoka</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Japan</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20 May</w:t>
      </w:r>
      <w:r>
        <w:rPr>
          <w:rFonts w:hint="eastAsia" w:ascii="Arial" w:hAnsi="Arial" w:eastAsia="宋体" w:cs="Arial"/>
          <w:b/>
          <w:kern w:val="2"/>
          <w:sz w:val="24"/>
          <w:szCs w:val="24"/>
          <w:lang w:val="en-US" w:eastAsia="zh-CN" w:bidi="ar-SA"/>
        </w:rPr>
        <w:t xml:space="preserve"> – </w:t>
      </w:r>
      <w:r>
        <w:rPr>
          <w:rFonts w:hint="eastAsia" w:ascii="Arial" w:hAnsi="Arial" w:cs="Arial"/>
          <w:b/>
          <w:kern w:val="2"/>
          <w:sz w:val="24"/>
          <w:szCs w:val="24"/>
          <w:lang w:val="en-US" w:eastAsia="zh-CN" w:bidi="ar-SA"/>
        </w:rPr>
        <w:t>24 May</w:t>
      </w:r>
      <w:r>
        <w:rPr>
          <w:rFonts w:hint="eastAsia" w:ascii="Arial" w:hAnsi="Arial" w:eastAsia="宋体" w:cs="Arial"/>
          <w:b/>
          <w:kern w:val="2"/>
          <w:sz w:val="24"/>
          <w:szCs w:val="24"/>
          <w:lang w:val="en-US" w:eastAsia="zh-CN" w:bidi="ar-SA"/>
        </w:rPr>
        <w:t>, 2024 </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testability and interoperability issues for AI-CSI</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10.11.4</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 and prediction.</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rPr>
          <w:rFonts w:hint="eastAsia" w:eastAsiaTheme="minorEastAsia"/>
          <w:b/>
          <w:sz w:val="21"/>
          <w:szCs w:val="21"/>
          <w:u w:val="single"/>
          <w:lang w:val="en-US" w:eastAsia="ko-KR"/>
        </w:rPr>
      </w:pPr>
      <w:r>
        <w:rPr>
          <w:rFonts w:hint="eastAsia" w:eastAsiaTheme="minorEastAsia"/>
          <w:b/>
          <w:sz w:val="21"/>
          <w:szCs w:val="21"/>
          <w:u w:val="single"/>
          <w:lang w:val="en-US" w:eastAsia="ko-KR"/>
        </w:rPr>
        <w:t>Reference and test encoder/decoder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eastAsia="游明朝"/>
                <w:iCs/>
                <w:sz w:val="18"/>
                <w:szCs w:val="18"/>
                <w:lang w:eastAsia="ja-JP"/>
              </w:rPr>
            </w:pPr>
            <w:r>
              <w:rPr>
                <w:rFonts w:hint="eastAsia" w:eastAsia="游明朝"/>
                <w:iCs/>
                <w:sz w:val="18"/>
                <w:szCs w:val="18"/>
                <w:lang w:eastAsia="ja-JP"/>
              </w:rPr>
              <w:t>Test decoder definition:</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eastAsia="宋体"/>
                <w:iCs/>
                <w:sz w:val="18"/>
                <w:szCs w:val="18"/>
                <w:lang w:val="en-US" w:eastAsia="zh-CN"/>
              </w:rPr>
            </w:pPr>
            <w:r>
              <w:rPr>
                <w:rFonts w:hint="default" w:eastAsia="游明朝"/>
                <w:iCs/>
                <w:sz w:val="18"/>
                <w:szCs w:val="18"/>
                <w:lang w:eastAsia="ja-JP"/>
              </w:rPr>
              <w:t>Test decoder</w:t>
            </w:r>
            <w:r>
              <w:rPr>
                <w:rFonts w:hint="eastAsia" w:eastAsia="游明朝"/>
                <w:iCs/>
                <w:sz w:val="18"/>
                <w:szCs w:val="18"/>
                <w:lang w:eastAsia="ja-JP"/>
              </w:rPr>
              <w:t>(for UE side test)</w:t>
            </w:r>
            <w:r>
              <w:rPr>
                <w:rFonts w:hint="default" w:eastAsia="游明朝"/>
                <w:iCs/>
                <w:sz w:val="18"/>
                <w:szCs w:val="18"/>
                <w:lang w:eastAsia="ja-JP"/>
              </w:rPr>
              <w:t>: the decoder to be used in RAN4 test</w:t>
            </w:r>
            <w:r>
              <w:rPr>
                <w:rFonts w:hint="eastAsia" w:eastAsia="游明朝"/>
                <w:iCs/>
                <w:sz w:val="18"/>
                <w:szCs w:val="18"/>
                <w:lang w:eastAsia="ja-JP"/>
              </w:rPr>
              <w:t>s and implemented in TE</w:t>
            </w:r>
            <w:r>
              <w:rPr>
                <w:rFonts w:hint="default" w:eastAsia="游明朝"/>
                <w:iCs/>
                <w:sz w:val="18"/>
                <w:szCs w:val="18"/>
                <w:lang w:eastAsia="ja-JP"/>
              </w:rPr>
              <w:t xml:space="preserve">. it will be captured in the specifications if necessary (for example, for Option 3 it would be </w:t>
            </w:r>
            <w:r>
              <w:rPr>
                <w:rFonts w:hint="eastAsia" w:eastAsia="游明朝"/>
                <w:iCs/>
                <w:sz w:val="18"/>
                <w:szCs w:val="18"/>
                <w:lang w:eastAsia="ja-JP"/>
              </w:rPr>
              <w:t xml:space="preserve">explicitly </w:t>
            </w:r>
            <w:r>
              <w:rPr>
                <w:rFonts w:hint="default" w:eastAsia="游明朝"/>
                <w:iCs/>
                <w:sz w:val="18"/>
                <w:szCs w:val="18"/>
                <w:lang w:eastAsia="ja-JP"/>
              </w:rPr>
              <w:t>captured in the specifications</w:t>
            </w:r>
            <w:r>
              <w:rPr>
                <w:rFonts w:hint="eastAsia" w:eastAsia="游明朝"/>
                <w:iCs/>
                <w:sz w:val="18"/>
                <w:szCs w:val="18"/>
                <w:lang w:eastAsia="ja-JP"/>
              </w:rPr>
              <w:t>)</w:t>
            </w:r>
            <w:r>
              <w:rPr>
                <w:rFonts w:hint="eastAsia" w:eastAsia="宋体"/>
                <w:iCs/>
                <w:sz w:val="18"/>
                <w:szCs w:val="18"/>
                <w:lang w:val="en-US" w:eastAsia="zh-CN"/>
              </w:rPr>
              <w: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eastAsia="宋体"/>
                <w:sz w:val="18"/>
                <w:szCs w:val="18"/>
                <w:lang w:val="en-US" w:eastAsia="zh-CN"/>
              </w:rPr>
            </w:pPr>
            <w:r>
              <w:rPr>
                <w:rFonts w:hint="eastAsia" w:eastAsia="游明朝"/>
                <w:iCs/>
                <w:sz w:val="18"/>
                <w:szCs w:val="18"/>
                <w:lang w:eastAsia="ja-JP"/>
              </w:rPr>
              <w:t>test decoder definition covers both Option 3 and Option 4</w:t>
            </w:r>
            <w:r>
              <w:rPr>
                <w:rFonts w:hint="eastAsia" w:eastAsia="宋体"/>
                <w:iCs/>
                <w:sz w:val="18"/>
                <w:szCs w:val="18"/>
                <w:lang w:val="en-US" w:eastAsia="zh-CN"/>
              </w:rPr>
              <w: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eastAsiaTheme="minorEastAsia"/>
                <w:b/>
                <w:sz w:val="21"/>
                <w:szCs w:val="21"/>
                <w:u w:val="single"/>
                <w:vertAlign w:val="baseline"/>
                <w:lang w:val="en-US" w:eastAsia="ko-KR"/>
              </w:rPr>
            </w:pPr>
            <w:r>
              <w:rPr>
                <w:rFonts w:hint="eastAsia" w:eastAsia="游明朝"/>
                <w:sz w:val="18"/>
                <w:szCs w:val="18"/>
                <w:lang w:eastAsia="ja-JP"/>
              </w:rPr>
              <w:t>Companies are invited to bring proposals to clarify the meaning/definition of the reference encoder/decoder used in the RAN4 discussions.</w:t>
            </w:r>
          </w:p>
        </w:tc>
      </w:tr>
    </w:tbl>
    <w:p>
      <w:pPr>
        <w:rPr>
          <w:rFonts w:hint="default" w:cs="Times New Roman"/>
          <w:b w:val="0"/>
          <w:bCs/>
          <w:szCs w:val="20"/>
          <w:u w:val="none"/>
          <w:lang w:val="en-US" w:eastAsia="zh-CN"/>
        </w:rPr>
      </w:pPr>
      <w:r>
        <w:rPr>
          <w:rFonts w:hint="eastAsia" w:ascii="Times New Roman" w:hAnsi="Times New Roman" w:cs="Times New Roman"/>
          <w:b w:val="0"/>
          <w:bCs/>
          <w:szCs w:val="20"/>
          <w:u w:val="none"/>
          <w:lang w:val="en-US" w:eastAsia="zh-CN"/>
        </w:rPr>
        <w:t xml:space="preserve">At the last meeting, </w:t>
      </w:r>
      <w:r>
        <w:rPr>
          <w:rFonts w:hint="eastAsia" w:cs="Times New Roman"/>
          <w:b w:val="0"/>
          <w:bCs/>
          <w:szCs w:val="20"/>
          <w:u w:val="none"/>
          <w:lang w:val="en-US" w:eastAsia="zh-CN"/>
        </w:rPr>
        <w:t xml:space="preserve">RAN4 discussed the definition of the test decoder as shown in above table. Another remain issue is the meaning/definition of reference encoder/decoder. To our understanding, the motivation of reference encoder/decoder is to achieve interoperability of DUT and TE vendor during the test. For option 4 with partial knowledge, which needs additional information (e.g. dataset, reference encoder/decoder, model structure) to achieve this motivation. The ultimate motivation of interoperability is to ensure that any encoder paired with any TE decoder should result in the same performance. Consequently, the reference encoder/decoder in RAN4 only used to ensure the DUT can pass the test, in other words, it could be used in RAN4 for simulation alignment. </w:t>
      </w:r>
    </w:p>
    <w:p>
      <w:pPr>
        <w:rPr>
          <w:rFonts w:hint="default"/>
          <w:b/>
          <w:bCs/>
          <w:i/>
          <w:iCs/>
          <w:szCs w:val="21"/>
          <w:lang w:val="en-US" w:eastAsia="zh-CN"/>
        </w:rPr>
      </w:pPr>
      <w:r>
        <w:rPr>
          <w:rFonts w:hint="eastAsia"/>
          <w:b/>
          <w:bCs/>
          <w:i/>
          <w:iCs/>
          <w:szCs w:val="21"/>
          <w:lang w:val="en-US" w:eastAsia="zh-CN"/>
        </w:rPr>
        <w:t>Proposal 1. The encoder/decoder used in RAN4 discussions for simulation alignment/requirement derivation. It could be documented or captured in the specifications as necessary.</w:t>
      </w:r>
    </w:p>
    <w:p>
      <w:pPr>
        <w:rPr>
          <w:rFonts w:hint="eastAsia" w:eastAsiaTheme="minorEastAsia"/>
          <w:b/>
          <w:sz w:val="21"/>
          <w:szCs w:val="21"/>
          <w:u w:val="single"/>
          <w:lang w:val="en-US" w:eastAsia="zh-CN"/>
        </w:rPr>
      </w:pPr>
      <w:r>
        <w:rPr>
          <w:rFonts w:hint="eastAsia" w:eastAsiaTheme="minorEastAsia"/>
          <w:b/>
          <w:sz w:val="21"/>
          <w:szCs w:val="21"/>
          <w:u w:val="single"/>
          <w:lang w:val="en-US" w:eastAsia="zh-CN"/>
        </w:rPr>
        <w:t>Option 3 for 2- side model</w:t>
      </w:r>
    </w:p>
    <w:p>
      <w:pPr>
        <w:rPr>
          <w:rFonts w:hint="default" w:cs="Times New Roman"/>
          <w:b w:val="0"/>
          <w:bCs/>
          <w:szCs w:val="20"/>
          <w:u w:val="none"/>
          <w:lang w:val="en-US" w:eastAsia="zh-CN"/>
        </w:rPr>
      </w:pPr>
      <w:r>
        <w:rPr>
          <w:rFonts w:hint="eastAsia" w:cs="Times New Roman"/>
          <w:b w:val="0"/>
          <w:bCs/>
          <w:szCs w:val="20"/>
          <w:u w:val="none"/>
          <w:lang w:val="en-US" w:eastAsia="zh-CN"/>
        </w:rPr>
        <w:t>Regarding the option 3 for 2-side model, we have the following candidate agreement in following table.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iCs/>
                <w:strike/>
                <w:sz w:val="21"/>
                <w:szCs w:val="21"/>
                <w:lang w:eastAsia="ja-JP"/>
              </w:rPr>
            </w:pPr>
            <w:r>
              <w:rPr>
                <w:rFonts w:hint="default" w:eastAsia="游明朝"/>
                <w:iCs/>
                <w:sz w:val="21"/>
                <w:szCs w:val="21"/>
                <w:lang w:eastAsia="ja-JP"/>
              </w:rPr>
              <w:t xml:space="preserve">In order to consider model performance with more concrete details, companies are encouraged to bring parameters/values proposals, considering RAN4 existing test configuration or </w:t>
            </w:r>
            <w:r>
              <w:rPr>
                <w:rFonts w:hint="eastAsia" w:eastAsia="游明朝"/>
                <w:iCs/>
                <w:sz w:val="21"/>
                <w:szCs w:val="21"/>
                <w:lang w:eastAsia="ja-JP"/>
              </w:rPr>
              <w:t>RAN1 baseline scenario captured in TR 38.843 in Table 6.2.1-2</w:t>
            </w:r>
            <w:r>
              <w:rPr>
                <w:rFonts w:hint="default" w:eastAsia="游明朝"/>
                <w:iCs/>
                <w:sz w:val="21"/>
                <w:szCs w:val="21"/>
                <w:lang w:eastAsia="ja-JP"/>
              </w:rPr>
              <w:t xml:space="preserve"> for example.</w:t>
            </w:r>
          </w:p>
          <w:p>
            <w:pPr>
              <w:keepNext w:val="0"/>
              <w:keepLines w:val="0"/>
              <w:widowControl/>
              <w:suppressLineNumbers w:val="0"/>
              <w:overflowPunct w:val="0"/>
              <w:autoSpaceDE w:val="0"/>
              <w:autoSpaceDN w:val="0"/>
              <w:adjustRightInd w:val="0"/>
              <w:spacing w:before="100" w:beforeAutospacing="1" w:after="100" w:afterAutospacing="1"/>
              <w:ind w:left="0" w:right="0"/>
              <w:textAlignment w:val="baseline"/>
              <w:rPr>
                <w:rFonts w:hint="eastAsia" w:eastAsiaTheme="minorEastAsia"/>
                <w:b/>
                <w:sz w:val="21"/>
                <w:szCs w:val="21"/>
                <w:u w:val="single"/>
                <w:vertAlign w:val="baseline"/>
                <w:lang w:val="en-US" w:eastAsia="zh-CN"/>
              </w:rPr>
            </w:pPr>
            <w:r>
              <w:rPr>
                <w:rStyle w:val="77"/>
                <w:rFonts w:hint="default"/>
                <w:sz w:val="21"/>
                <w:szCs w:val="21"/>
              </w:rPr>
              <w:t>Companies to report model type used, input/output type (e.g., eigenvectors, raw channel matrix), training collaboration type and latent message size</w:t>
            </w:r>
            <w:r>
              <w:rPr>
                <w:rFonts w:hint="default" w:eastAsia="游明朝"/>
                <w:iCs/>
                <w:sz w:val="21"/>
                <w:szCs w:val="21"/>
                <w:lang w:eastAsia="ja-JP"/>
              </w:rPr>
              <w:t>.</w:t>
            </w:r>
          </w:p>
        </w:tc>
      </w:tr>
    </w:tbl>
    <w:p>
      <w:pPr>
        <w:rPr>
          <w:rFonts w:hint="default" w:ascii="Times New Roman" w:hAnsi="Times New Roman" w:cs="Times New Roman"/>
          <w:b w:val="0"/>
          <w:bCs/>
          <w:szCs w:val="20"/>
          <w:u w:val="none"/>
          <w:lang w:val="en-US" w:eastAsia="zh-CN"/>
        </w:rPr>
      </w:pPr>
      <w:r>
        <w:rPr>
          <w:rFonts w:hint="eastAsia" w:cs="Times New Roman"/>
          <w:b w:val="0"/>
          <w:bCs/>
          <w:szCs w:val="20"/>
          <w:u w:val="none"/>
          <w:lang w:val="en-US" w:eastAsia="zh-CN"/>
        </w:rPr>
        <w:t>At the previous meeting, RAN1</w:t>
      </w:r>
      <w:r>
        <w:rPr>
          <w:rFonts w:hint="default" w:cs="Times New Roman"/>
          <w:b w:val="0"/>
          <w:bCs/>
          <w:szCs w:val="20"/>
          <w:u w:val="none"/>
          <w:lang w:val="en-US" w:eastAsia="zh-CN"/>
        </w:rPr>
        <w:t>’</w:t>
      </w:r>
      <w:r>
        <w:rPr>
          <w:rFonts w:hint="eastAsia" w:cs="Times New Roman"/>
          <w:b w:val="0"/>
          <w:bCs/>
          <w:szCs w:val="20"/>
          <w:u w:val="none"/>
          <w:lang w:val="en-US" w:eastAsia="zh-CN"/>
        </w:rPr>
        <w:t xml:space="preserve">s agreement is shown in the following table.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For the evaluation of temporal domain aspects of AI/ML-based CSI compression using two-sided model in Release 19, adopt the following categorization for study:</w:t>
            </w:r>
          </w:p>
          <w:tbl>
            <w:tblPr>
              <w:tblStyle w:val="22"/>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1444"/>
              <w:gridCol w:w="3247"/>
              <w:gridCol w:w="3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412" w:type="pct"/>
                  <w:shd w:val="clear" w:color="auto" w:fill="auto"/>
                </w:tcPr>
                <w:p>
                  <w:pPr>
                    <w:keepNext w:val="0"/>
                    <w:keepLines w:val="0"/>
                    <w:widowControl/>
                    <w:suppressLineNumbers w:val="0"/>
                    <w:spacing w:before="0" w:beforeAutospacing="0" w:after="0" w:afterAutospacing="0"/>
                    <w:ind w:left="0" w:right="0"/>
                    <w:rPr>
                      <w:rFonts w:hint="default" w:ascii="Arial" w:hAnsi="Arial" w:cs="Arial"/>
                      <w:sz w:val="16"/>
                      <w:szCs w:val="16"/>
                    </w:rPr>
                  </w:pPr>
                  <w:r>
                    <w:rPr>
                      <w:rFonts w:hint="default" w:ascii="Arial" w:hAnsi="Arial" w:cs="Arial"/>
                      <w:b/>
                      <w:bCs/>
                      <w:sz w:val="16"/>
                      <w:szCs w:val="16"/>
                    </w:rPr>
                    <w:t>Case</w:t>
                  </w:r>
                </w:p>
              </w:tc>
              <w:tc>
                <w:tcPr>
                  <w:tcW w:w="80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b/>
                      <w:bCs/>
                      <w:sz w:val="16"/>
                      <w:szCs w:val="16"/>
                    </w:rPr>
                    <w:t>Target CSI slot(s)</w:t>
                  </w:r>
                </w:p>
              </w:tc>
              <w:tc>
                <w:tcPr>
                  <w:tcW w:w="1807"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b/>
                      <w:bCs/>
                      <w:sz w:val="16"/>
                      <w:szCs w:val="16"/>
                    </w:rPr>
                    <w:t xml:space="preserve">Whether </w:t>
                  </w:r>
                  <w:r>
                    <w:rPr>
                      <w:rFonts w:hint="default" w:ascii="Arial" w:hAnsi="Arial" w:cs="Arial"/>
                      <w:b/>
                      <w:bCs/>
                      <w:strike/>
                      <w:sz w:val="16"/>
                      <w:szCs w:val="16"/>
                    </w:rPr>
                    <w:t>CSI generation part</w:t>
                  </w:r>
                  <w:r>
                    <w:rPr>
                      <w:rFonts w:hint="default" w:ascii="Arial" w:hAnsi="Arial" w:cs="Arial"/>
                      <w:b/>
                      <w:bCs/>
                      <w:sz w:val="16"/>
                      <w:szCs w:val="16"/>
                    </w:rPr>
                    <w:t xml:space="preserve"> the UE uses past CSI information</w:t>
                  </w:r>
                </w:p>
              </w:tc>
              <w:tc>
                <w:tcPr>
                  <w:tcW w:w="197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b/>
                      <w:bCs/>
                      <w:sz w:val="16"/>
                      <w:szCs w:val="16"/>
                    </w:rPr>
                    <w:t xml:space="preserve">Whether </w:t>
                  </w:r>
                  <w:r>
                    <w:rPr>
                      <w:rFonts w:hint="default" w:ascii="Arial" w:hAnsi="Arial" w:cs="Arial"/>
                      <w:b/>
                      <w:bCs/>
                      <w:strike/>
                      <w:sz w:val="16"/>
                      <w:szCs w:val="16"/>
                    </w:rPr>
                    <w:t>CSI reconstruction part</w:t>
                  </w:r>
                  <w:r>
                    <w:rPr>
                      <w:rFonts w:hint="default" w:ascii="Arial" w:hAnsi="Arial" w:cs="Arial"/>
                      <w:b/>
                      <w:bCs/>
                      <w:sz w:val="16"/>
                      <w:szCs w:val="16"/>
                    </w:rPr>
                    <w:t xml:space="preserve"> the network uses past CSI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412" w:type="pct"/>
                  <w:shd w:val="clear" w:color="auto" w:fill="auto"/>
                </w:tcPr>
                <w:p>
                  <w:pPr>
                    <w:keepNext w:val="0"/>
                    <w:keepLines w:val="0"/>
                    <w:widowControl/>
                    <w:suppressLineNumbers w:val="0"/>
                    <w:spacing w:before="0" w:beforeAutospacing="0" w:after="0" w:afterAutospacing="0"/>
                    <w:ind w:left="0" w:right="0"/>
                    <w:rPr>
                      <w:rFonts w:hint="default" w:ascii="Arial" w:hAnsi="Arial" w:cs="Arial"/>
                      <w:sz w:val="16"/>
                      <w:szCs w:val="16"/>
                    </w:rPr>
                  </w:pPr>
                  <w:r>
                    <w:rPr>
                      <w:rFonts w:hint="default" w:ascii="Arial" w:hAnsi="Arial" w:cs="Arial"/>
                      <w:sz w:val="16"/>
                      <w:szCs w:val="16"/>
                    </w:rPr>
                    <w:t>0</w:t>
                  </w:r>
                </w:p>
              </w:tc>
              <w:tc>
                <w:tcPr>
                  <w:tcW w:w="80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Present slot</w:t>
                  </w:r>
                </w:p>
              </w:tc>
              <w:tc>
                <w:tcPr>
                  <w:tcW w:w="1807"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No</w:t>
                  </w:r>
                </w:p>
              </w:tc>
              <w:tc>
                <w:tcPr>
                  <w:tcW w:w="197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412" w:type="pct"/>
                  <w:shd w:val="clear" w:color="auto" w:fill="auto"/>
                </w:tcPr>
                <w:p>
                  <w:pPr>
                    <w:keepNext w:val="0"/>
                    <w:keepLines w:val="0"/>
                    <w:widowControl/>
                    <w:suppressLineNumbers w:val="0"/>
                    <w:spacing w:before="0" w:beforeAutospacing="0" w:after="0" w:afterAutospacing="0"/>
                    <w:ind w:left="0" w:right="0"/>
                    <w:rPr>
                      <w:rFonts w:hint="default" w:ascii="Arial" w:hAnsi="Arial" w:cs="Arial"/>
                      <w:b/>
                      <w:bCs/>
                      <w:sz w:val="16"/>
                      <w:szCs w:val="16"/>
                    </w:rPr>
                  </w:pPr>
                  <w:r>
                    <w:rPr>
                      <w:rFonts w:hint="default" w:ascii="Arial" w:hAnsi="Arial" w:cs="Arial"/>
                      <w:b/>
                      <w:bCs/>
                      <w:sz w:val="16"/>
                      <w:szCs w:val="16"/>
                    </w:rPr>
                    <w:t>1</w:t>
                  </w:r>
                </w:p>
              </w:tc>
              <w:tc>
                <w:tcPr>
                  <w:tcW w:w="80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Present slot</w:t>
                  </w:r>
                </w:p>
              </w:tc>
              <w:tc>
                <w:tcPr>
                  <w:tcW w:w="1807"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Yes</w:t>
                  </w:r>
                </w:p>
              </w:tc>
              <w:tc>
                <w:tcPr>
                  <w:tcW w:w="197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412" w:type="pct"/>
                  <w:shd w:val="clear" w:color="auto" w:fill="auto"/>
                </w:tcPr>
                <w:p>
                  <w:pPr>
                    <w:keepNext w:val="0"/>
                    <w:keepLines w:val="0"/>
                    <w:widowControl/>
                    <w:suppressLineNumbers w:val="0"/>
                    <w:spacing w:before="0" w:beforeAutospacing="0" w:after="0" w:afterAutospacing="0"/>
                    <w:ind w:left="0" w:right="0"/>
                    <w:rPr>
                      <w:rFonts w:hint="default" w:ascii="Arial" w:hAnsi="Arial" w:cs="Arial"/>
                      <w:sz w:val="16"/>
                      <w:szCs w:val="16"/>
                    </w:rPr>
                  </w:pPr>
                  <w:r>
                    <w:rPr>
                      <w:rFonts w:hint="default" w:ascii="Arial" w:hAnsi="Arial" w:cs="Arial"/>
                      <w:b/>
                      <w:bCs/>
                      <w:sz w:val="16"/>
                      <w:szCs w:val="16"/>
                    </w:rPr>
                    <w:t>2</w:t>
                  </w:r>
                </w:p>
              </w:tc>
              <w:tc>
                <w:tcPr>
                  <w:tcW w:w="80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Present slot</w:t>
                  </w:r>
                </w:p>
              </w:tc>
              <w:tc>
                <w:tcPr>
                  <w:tcW w:w="1807"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Yes</w:t>
                  </w:r>
                </w:p>
              </w:tc>
              <w:tc>
                <w:tcPr>
                  <w:tcW w:w="197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412" w:type="pct"/>
                  <w:shd w:val="clear" w:color="auto" w:fill="auto"/>
                </w:tcPr>
                <w:p>
                  <w:pPr>
                    <w:keepNext w:val="0"/>
                    <w:keepLines w:val="0"/>
                    <w:widowControl/>
                    <w:suppressLineNumbers w:val="0"/>
                    <w:spacing w:before="0" w:beforeAutospacing="0" w:after="0" w:afterAutospacing="0"/>
                    <w:ind w:left="0" w:right="0"/>
                    <w:rPr>
                      <w:rFonts w:hint="default" w:ascii="Arial" w:hAnsi="Arial" w:cs="Arial"/>
                      <w:sz w:val="16"/>
                      <w:szCs w:val="16"/>
                    </w:rPr>
                  </w:pPr>
                  <w:r>
                    <w:rPr>
                      <w:rFonts w:hint="default" w:ascii="Arial" w:hAnsi="Arial" w:cs="Arial"/>
                      <w:b/>
                      <w:bCs/>
                      <w:sz w:val="16"/>
                      <w:szCs w:val="16"/>
                    </w:rPr>
                    <w:t>3</w:t>
                  </w:r>
                </w:p>
              </w:tc>
              <w:tc>
                <w:tcPr>
                  <w:tcW w:w="80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Future slot(s)</w:t>
                  </w:r>
                </w:p>
              </w:tc>
              <w:tc>
                <w:tcPr>
                  <w:tcW w:w="1807"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Yes</w:t>
                  </w:r>
                </w:p>
              </w:tc>
              <w:tc>
                <w:tcPr>
                  <w:tcW w:w="197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412" w:type="pct"/>
                  <w:shd w:val="clear" w:color="auto" w:fill="auto"/>
                </w:tcPr>
                <w:p>
                  <w:pPr>
                    <w:keepNext w:val="0"/>
                    <w:keepLines w:val="0"/>
                    <w:widowControl/>
                    <w:suppressLineNumbers w:val="0"/>
                    <w:spacing w:before="0" w:beforeAutospacing="0" w:after="0" w:afterAutospacing="0"/>
                    <w:ind w:left="0" w:right="0"/>
                    <w:rPr>
                      <w:rFonts w:hint="default" w:ascii="Arial" w:hAnsi="Arial" w:cs="Arial"/>
                      <w:sz w:val="16"/>
                      <w:szCs w:val="16"/>
                    </w:rPr>
                  </w:pPr>
                  <w:r>
                    <w:rPr>
                      <w:rFonts w:hint="default" w:ascii="Arial" w:hAnsi="Arial" w:cs="Arial"/>
                      <w:b/>
                      <w:bCs/>
                      <w:sz w:val="16"/>
                      <w:szCs w:val="16"/>
                    </w:rPr>
                    <w:t>4</w:t>
                  </w:r>
                </w:p>
              </w:tc>
              <w:tc>
                <w:tcPr>
                  <w:tcW w:w="80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Future slot(s)</w:t>
                  </w:r>
                </w:p>
              </w:tc>
              <w:tc>
                <w:tcPr>
                  <w:tcW w:w="1807"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Yes</w:t>
                  </w:r>
                </w:p>
              </w:tc>
              <w:tc>
                <w:tcPr>
                  <w:tcW w:w="197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412" w:type="pct"/>
                  <w:shd w:val="clear" w:color="auto" w:fill="auto"/>
                </w:tcPr>
                <w:p>
                  <w:pPr>
                    <w:keepNext w:val="0"/>
                    <w:keepLines w:val="0"/>
                    <w:widowControl/>
                    <w:suppressLineNumbers w:val="0"/>
                    <w:spacing w:before="0" w:beforeAutospacing="0" w:after="0" w:afterAutospacing="0"/>
                    <w:ind w:left="0" w:right="0"/>
                    <w:rPr>
                      <w:rFonts w:hint="default" w:ascii="Arial" w:hAnsi="Arial" w:cs="Arial"/>
                      <w:b/>
                      <w:bCs/>
                      <w:sz w:val="16"/>
                      <w:szCs w:val="16"/>
                    </w:rPr>
                  </w:pPr>
                  <w:r>
                    <w:rPr>
                      <w:rFonts w:hint="default" w:ascii="Arial" w:hAnsi="Arial" w:cs="Arial"/>
                      <w:b/>
                      <w:bCs/>
                      <w:sz w:val="16"/>
                      <w:szCs w:val="16"/>
                    </w:rPr>
                    <w:t>5</w:t>
                  </w:r>
                </w:p>
              </w:tc>
              <w:tc>
                <w:tcPr>
                  <w:tcW w:w="80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Present slot</w:t>
                  </w:r>
                </w:p>
              </w:tc>
              <w:tc>
                <w:tcPr>
                  <w:tcW w:w="1807"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No</w:t>
                  </w:r>
                </w:p>
              </w:tc>
              <w:tc>
                <w:tcPr>
                  <w:tcW w:w="1974" w:type="pct"/>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Yes</w:t>
                  </w:r>
                </w:p>
              </w:tc>
            </w:tr>
          </w:tbl>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eastAsiaTheme="minorEastAsia"/>
                <w:b/>
                <w:sz w:val="21"/>
                <w:szCs w:val="21"/>
                <w:u w:val="single"/>
                <w:vertAlign w:val="baseline"/>
                <w:lang w:val="en-US" w:eastAsia="zh-CN"/>
              </w:rPr>
            </w:pPr>
          </w:p>
        </w:tc>
      </w:tr>
    </w:tbl>
    <w:p>
      <w:pPr>
        <w:rPr>
          <w:rFonts w:hint="default" w:cs="Times New Roman"/>
          <w:b w:val="0"/>
          <w:bCs/>
          <w:szCs w:val="20"/>
          <w:u w:val="none"/>
          <w:lang w:val="en-US" w:eastAsia="zh-CN"/>
        </w:rPr>
      </w:pPr>
      <w:r>
        <w:rPr>
          <w:rFonts w:hint="default" w:ascii="Times New Roman" w:hAnsi="Times New Roman" w:cs="Times New Roman"/>
          <w:b w:val="0"/>
          <w:bCs/>
          <w:szCs w:val="20"/>
          <w:u w:val="none"/>
          <w:lang w:val="en-US" w:eastAsia="zh-CN"/>
        </w:rPr>
        <w:t>For the evaluation of temporal domain aspects of AI/ML-based CSI compression using two-sided model in Release 19,</w:t>
      </w:r>
      <w:r>
        <w:rPr>
          <w:rFonts w:hint="eastAsia" w:cs="Times New Roman"/>
          <w:b w:val="0"/>
          <w:bCs/>
          <w:szCs w:val="20"/>
          <w:u w:val="none"/>
          <w:lang w:val="en-US" w:eastAsia="zh-CN"/>
        </w:rPr>
        <w:t xml:space="preserve"> RAN1 agreed to use above use cases for further study. In all of the cases mentioned above, they can be roughly divided into three categories, spatial frequency- domain compression, temporal spatial frequency -domain and CSI compression plus predication. The structure of an example model for case 0 is shown in Fig. 1, which is only use input data to compress in UE side and decompress in NW side. For case 1/2/5, historical assistant information is considered to improve the performance for CSI compression. The only difference is whether to consider histori</w:t>
      </w:r>
      <w:r>
        <w:rPr>
          <w:rFonts w:hint="default" w:cs="Times New Roman"/>
          <w:b w:val="0"/>
          <w:bCs/>
          <w:szCs w:val="20"/>
          <w:u w:val="none"/>
          <w:lang w:eastAsia="zh-CN"/>
        </w:rPr>
        <w:t>cal information on UE side, NW side, or both of them. T</w:t>
      </w:r>
      <w:r>
        <w:rPr>
          <w:rFonts w:hint="eastAsia" w:cs="Times New Roman"/>
          <w:b w:val="0"/>
          <w:bCs/>
          <w:szCs w:val="20"/>
          <w:u w:val="none"/>
          <w:lang w:val="en-US" w:eastAsia="zh-CN"/>
        </w:rPr>
        <w:t xml:space="preserve">he structure of an example model for case </w:t>
      </w:r>
      <w:r>
        <w:rPr>
          <w:rFonts w:hint="default" w:cs="Times New Roman"/>
          <w:b w:val="0"/>
          <w:bCs/>
          <w:szCs w:val="20"/>
          <w:u w:val="none"/>
          <w:lang w:eastAsia="zh-CN"/>
        </w:rPr>
        <w:t>1/2/5</w:t>
      </w:r>
      <w:r>
        <w:rPr>
          <w:rFonts w:hint="eastAsia" w:cs="Times New Roman"/>
          <w:b w:val="0"/>
          <w:bCs/>
          <w:szCs w:val="20"/>
          <w:u w:val="none"/>
          <w:lang w:val="en-US" w:eastAsia="zh-CN"/>
        </w:rPr>
        <w:t xml:space="preserve"> is shown in Fig. 2</w:t>
      </w:r>
      <w:r>
        <w:rPr>
          <w:rFonts w:hint="default" w:cs="Times New Roman"/>
          <w:b w:val="0"/>
          <w:bCs/>
          <w:szCs w:val="20"/>
          <w:u w:val="none"/>
          <w:lang w:eastAsia="zh-CN"/>
        </w:rPr>
        <w:t xml:space="preserve">. Regarding case 3 and 4, which is focus on CSI prediction. </w:t>
      </w:r>
      <w:r>
        <w:rPr>
          <w:rFonts w:hint="eastAsia" w:cs="Times New Roman"/>
          <w:b w:val="0"/>
          <w:bCs/>
          <w:szCs w:val="20"/>
          <w:u w:val="none"/>
          <w:lang w:val="en-US" w:eastAsia="zh-CN"/>
        </w:rPr>
        <w:t>Here we don</w:t>
      </w:r>
      <w:r>
        <w:rPr>
          <w:rFonts w:hint="default" w:cs="Times New Roman"/>
          <w:b w:val="0"/>
          <w:bCs/>
          <w:szCs w:val="20"/>
          <w:u w:val="none"/>
          <w:lang w:val="en-US" w:eastAsia="zh-CN"/>
        </w:rPr>
        <w:t>’</w:t>
      </w:r>
      <w:r>
        <w:rPr>
          <w:rFonts w:hint="eastAsia" w:cs="Times New Roman"/>
          <w:b w:val="0"/>
          <w:bCs/>
          <w:szCs w:val="20"/>
          <w:u w:val="none"/>
          <w:lang w:val="en-US" w:eastAsia="zh-CN"/>
        </w:rPr>
        <w:t>t talk about details anymore.</w:t>
      </w:r>
    </w:p>
    <w:p>
      <w:pPr>
        <w:jc w:val="center"/>
        <w:rPr>
          <w:rFonts w:hint="eastAsia" w:eastAsiaTheme="minorEastAsia"/>
          <w:b/>
          <w:sz w:val="21"/>
          <w:szCs w:val="21"/>
          <w:u w:val="single"/>
          <w:lang w:val="en-US" w:eastAsia="zh-CN"/>
        </w:rPr>
      </w:pPr>
      <w:r>
        <w:drawing>
          <wp:inline distT="0" distB="0" distL="114300" distR="114300">
            <wp:extent cx="6132195" cy="1413510"/>
            <wp:effectExtent l="0" t="0" r="9525" b="381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2"/>
                    <a:stretch>
                      <a:fillRect/>
                    </a:stretch>
                  </pic:blipFill>
                  <pic:spPr>
                    <a:xfrm>
                      <a:off x="0" y="0"/>
                      <a:ext cx="6132195" cy="1413510"/>
                    </a:xfrm>
                    <a:prstGeom prst="rect">
                      <a:avLst/>
                    </a:prstGeom>
                    <a:noFill/>
                    <a:ln>
                      <a:noFill/>
                    </a:ln>
                  </pic:spPr>
                </pic:pic>
              </a:graphicData>
            </a:graphic>
          </wp:inline>
        </w:drawing>
      </w:r>
      <w:r>
        <w:rPr>
          <w:rFonts w:hint="eastAsia" w:eastAsiaTheme="minorEastAsia"/>
          <w:lang w:eastAsia="zh-CN"/>
        </w:rPr>
        <w:t xml:space="preserve">Figure 1. </w:t>
      </w:r>
      <w:r>
        <w:t xml:space="preserve">The </w:t>
      </w:r>
      <w:r>
        <w:rPr>
          <w:rFonts w:hint="eastAsia" w:eastAsiaTheme="minorEastAsia"/>
          <w:lang w:eastAsia="zh-CN"/>
        </w:rPr>
        <w:t>structure</w:t>
      </w:r>
      <w:r>
        <w:t xml:space="preserve"> of</w:t>
      </w:r>
      <w:r>
        <w:rPr>
          <w:rFonts w:hint="eastAsia"/>
          <w:lang w:val="en-US" w:eastAsia="zh-CN"/>
        </w:rPr>
        <w:t xml:space="preserve"> case 0</w:t>
      </w:r>
    </w:p>
    <w:p>
      <w:r>
        <w:drawing>
          <wp:inline distT="0" distB="0" distL="114300" distR="114300">
            <wp:extent cx="6132195" cy="1833245"/>
            <wp:effectExtent l="0" t="0" r="9525" b="1079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3"/>
                    <a:stretch>
                      <a:fillRect/>
                    </a:stretch>
                  </pic:blipFill>
                  <pic:spPr>
                    <a:xfrm>
                      <a:off x="0" y="0"/>
                      <a:ext cx="6132195" cy="1833245"/>
                    </a:xfrm>
                    <a:prstGeom prst="rect">
                      <a:avLst/>
                    </a:prstGeom>
                    <a:noFill/>
                    <a:ln>
                      <a:noFill/>
                    </a:ln>
                  </pic:spPr>
                </pic:pic>
              </a:graphicData>
            </a:graphic>
          </wp:inline>
        </w:drawing>
      </w:r>
    </w:p>
    <w:p>
      <w:pPr>
        <w:spacing w:after="120"/>
        <w:jc w:val="center"/>
        <w:rPr>
          <w:rFonts w:hint="eastAsia"/>
          <w:lang w:val="en-US" w:eastAsia="zh-CN"/>
        </w:rPr>
      </w:pPr>
      <w:r>
        <w:rPr>
          <w:rFonts w:hint="eastAsia" w:eastAsiaTheme="minorEastAsia"/>
          <w:lang w:eastAsia="zh-CN"/>
        </w:rPr>
        <w:t xml:space="preserve">Figure </w:t>
      </w:r>
      <w:r>
        <w:rPr>
          <w:rFonts w:hint="default" w:eastAsiaTheme="minorEastAsia"/>
          <w:lang w:eastAsia="zh-CN"/>
        </w:rPr>
        <w:t>2</w:t>
      </w:r>
      <w:r>
        <w:rPr>
          <w:rFonts w:hint="eastAsia" w:eastAsiaTheme="minorEastAsia"/>
          <w:lang w:eastAsia="zh-CN"/>
        </w:rPr>
        <w:t xml:space="preserve">. </w:t>
      </w:r>
      <w:r>
        <w:t xml:space="preserve">The </w:t>
      </w:r>
      <w:r>
        <w:rPr>
          <w:rFonts w:hint="eastAsia" w:eastAsiaTheme="minorEastAsia"/>
          <w:lang w:eastAsia="zh-CN"/>
        </w:rPr>
        <w:t>structure</w:t>
      </w:r>
      <w:r>
        <w:t xml:space="preserve"> of</w:t>
      </w:r>
      <w:r>
        <w:rPr>
          <w:rFonts w:hint="eastAsia"/>
          <w:lang w:val="en-US" w:eastAsia="zh-CN"/>
        </w:rPr>
        <w:t xml:space="preserve"> case</w:t>
      </w:r>
      <w:r>
        <w:rPr>
          <w:rFonts w:hint="default"/>
          <w:lang w:eastAsia="zh-CN"/>
        </w:rPr>
        <w:t xml:space="preserve"> 1/2/5</w:t>
      </w:r>
    </w:p>
    <w:p>
      <w:pPr>
        <w:rPr>
          <w:rFonts w:hint="default"/>
          <w:lang w:eastAsia="zh-CN"/>
        </w:rPr>
      </w:pPr>
      <w:r>
        <w:rPr>
          <w:rFonts w:hint="default"/>
          <w:lang w:eastAsia="zh-CN"/>
        </w:rPr>
        <w:t xml:space="preserve">At the last meeting, RAN4 agreed to </w:t>
      </w:r>
      <w:r>
        <w:rPr>
          <w:rFonts w:hint="eastAsia"/>
          <w:lang w:val="en-US" w:eastAsia="zh-CN"/>
        </w:rPr>
        <w:t xml:space="preserve">consider model performance with more concrete details, and encouraged to bring parameters/ values. In existing requirements, RAN4 evaluated PMI by link level simulation, and assumptions in section 6.3 for different test configurations in TS 38.101-4. Compared to the table 6.2.1-2, the significant difference between the TDL and CDL models. However, RAN4 always uses TDL model to define requirements and to configure the test environment. Regarding the CDL channel model in RAN4 testing, this is still discussed for R-19 work item in the RAN plenary. However, link level simulation is optionally adopted in RAN1. From a testing point of view, the test parameters of CSI compression should be more in line with the configuration of test environment to achieve minimum requirements. So RAN4 can use the following table 6.2.1-2 as a reference. And </w:t>
      </w:r>
      <w:r>
        <w:rPr>
          <w:rFonts w:hint="default"/>
          <w:lang w:eastAsia="zh-CN"/>
        </w:rPr>
        <w:t xml:space="preserve">detail parameters may be need to </w:t>
      </w:r>
      <w:r>
        <w:rPr>
          <w:rFonts w:hint="eastAsia"/>
          <w:lang w:val="en-US" w:eastAsia="zh-CN"/>
        </w:rPr>
        <w:t xml:space="preserve">align with </w:t>
      </w:r>
      <w:r>
        <w:rPr>
          <w:rFonts w:hint="default"/>
          <w:lang w:eastAsia="zh-CN"/>
        </w:rPr>
        <w:t xml:space="preserve">RAN4 </w:t>
      </w:r>
      <w:r>
        <w:rPr>
          <w:rFonts w:hint="eastAsia"/>
          <w:lang w:val="en-US" w:eastAsia="zh-CN"/>
        </w:rPr>
        <w:t>existing</w:t>
      </w:r>
      <w:r>
        <w:rPr>
          <w:rFonts w:hint="default"/>
          <w:lang w:eastAsia="zh-CN"/>
        </w:rPr>
        <w:t xml:space="preserve"> test </w:t>
      </w:r>
      <w:r>
        <w:rPr>
          <w:rFonts w:hint="eastAsia"/>
          <w:lang w:val="en-US" w:eastAsia="zh-CN"/>
        </w:rPr>
        <w:t>configuration</w:t>
      </w:r>
      <w:r>
        <w:rPr>
          <w:rFonts w:hint="default"/>
          <w:lang w:eastAsia="zh-CN"/>
        </w:rPr>
        <w:t xml:space="preserve">. </w:t>
      </w:r>
    </w:p>
    <w:p>
      <w:pPr>
        <w:keepNext/>
        <w:keepLines/>
        <w:spacing w:before="60" w:after="180"/>
        <w:jc w:val="center"/>
        <w:rPr>
          <w:rFonts w:ascii="Arial" w:hAnsi="Arial" w:eastAsia="MS Mincho" w:cs="Times New Roman"/>
          <w:b/>
          <w:lang w:val="en-GB" w:eastAsia="en-US" w:bidi="ar-SA"/>
        </w:rPr>
      </w:pPr>
      <w:r>
        <w:rPr>
          <w:rFonts w:ascii="Arial" w:hAnsi="Arial" w:eastAsia="MS Mincho" w:cs="Times New Roman"/>
          <w:b/>
          <w:lang w:val="en-GB" w:eastAsia="en-US" w:bidi="ar-SA"/>
        </w:rPr>
        <w:t>Table 6.2.1-2: Baseline Link Level Simulation assumptions for</w:t>
      </w:r>
      <w:r>
        <w:rPr>
          <w:rFonts w:ascii="Arial" w:hAnsi="Arial" w:eastAsia="Microsoft YaHei UI" w:cs="Times New Roman"/>
          <w:b/>
          <w:lang w:val="en-GB" w:eastAsia="zh-CN" w:bidi="ar-SA"/>
        </w:rPr>
        <w:t xml:space="preserve"> </w:t>
      </w:r>
      <w:r>
        <w:rPr>
          <w:rFonts w:ascii="Arial" w:hAnsi="Arial" w:eastAsia="MS Mincho" w:cs="Times New Roman"/>
          <w:b/>
          <w:lang w:val="en-GB" w:eastAsia="en-US" w:bidi="ar-SA"/>
        </w:rPr>
        <w:t>AI/ML based CSI feedback enhancement</w:t>
      </w:r>
      <w:r>
        <w:rPr>
          <w:rFonts w:ascii="Arial" w:hAnsi="Arial" w:eastAsia="Microsoft YaHei UI" w:cs="Times New Roman"/>
          <w:b/>
          <w:lang w:val="en-GB" w:eastAsia="zh-CN" w:bidi="ar-SA"/>
        </w:rPr>
        <w:t xml:space="preserve"> evaluations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D9D9D9"/>
          </w:tcPr>
          <w:p>
            <w:pPr>
              <w:keepNext/>
              <w:keepLines/>
              <w:widowControl/>
              <w:suppressLineNumbers w:val="0"/>
              <w:spacing w:before="0" w:beforeAutospacing="0" w:after="0" w:afterAutospacing="0"/>
              <w:ind w:left="0" w:right="0"/>
              <w:jc w:val="center"/>
              <w:rPr>
                <w:rFonts w:hint="default" w:ascii="Arial" w:hAnsi="Arial" w:eastAsia="MS Mincho" w:cs="Times New Roman"/>
                <w:b/>
                <w:sz w:val="18"/>
                <w:szCs w:val="20"/>
                <w:lang w:val="en-GB" w:eastAsia="en-US" w:bidi="ar-SA"/>
              </w:rPr>
            </w:pPr>
            <w:r>
              <w:rPr>
                <w:rFonts w:hint="default" w:ascii="Arial" w:hAnsi="Arial" w:eastAsia="MS Mincho" w:cs="Times New Roman"/>
                <w:b/>
                <w:sz w:val="18"/>
                <w:szCs w:val="20"/>
                <w:lang w:val="en-GB" w:eastAsia="en-US" w:bidi="ar-SA"/>
              </w:rPr>
              <w:t>Parameter</w:t>
            </w:r>
          </w:p>
        </w:tc>
        <w:tc>
          <w:tcPr>
            <w:tcW w:w="5621" w:type="dxa"/>
            <w:shd w:val="clear" w:color="auto" w:fill="D9D9D9"/>
          </w:tcPr>
          <w:p>
            <w:pPr>
              <w:keepNext/>
              <w:keepLines/>
              <w:widowControl/>
              <w:suppressLineNumbers w:val="0"/>
              <w:spacing w:before="0" w:beforeAutospacing="0" w:after="0" w:afterAutospacing="0"/>
              <w:ind w:left="0" w:right="0"/>
              <w:jc w:val="center"/>
              <w:rPr>
                <w:rFonts w:hint="default" w:ascii="Arial" w:hAnsi="Arial" w:eastAsia="MS Mincho" w:cs="Times New Roman"/>
                <w:b/>
                <w:sz w:val="18"/>
                <w:szCs w:val="20"/>
                <w:lang w:val="en-GB" w:eastAsia="en-US" w:bidi="ar-SA"/>
              </w:rPr>
            </w:pPr>
            <w:r>
              <w:rPr>
                <w:rFonts w:hint="default" w:ascii="Arial" w:hAnsi="Arial" w:eastAsia="MS Mincho" w:cs="Times New Roman"/>
                <w:b/>
                <w:sz w:val="18"/>
                <w:szCs w:val="20"/>
                <w:lang w:val="en-GB" w:eastAsia="en-US"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 xml:space="preserve">Duplex, Waveform </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 xml:space="preserve">FDD (TDD is not precluded), 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Carrier frequency</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2GHz as baseline, optional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Bandwidth</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10MHz 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Subcarrier spacing</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15kHz for 2GHz, 30kHz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Nt</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32: (8,8,2,1,1,2,8), (dH,dV) = (0.5,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Nr</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4: (1,2,2,1,1,1,2), (dH,dV)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Channel model</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CDL-C as baseline, CDL-A as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UE speed</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3kmhr, 10km/h, 20km/h or 30km/h to be reported by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Delay spread</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30ns or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Channel estimation</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Realistic channel estimation algorithms (e.g., LS or MMSE) as a baseline.</w:t>
            </w:r>
          </w:p>
          <w:p>
            <w:pPr>
              <w:keepNext w:val="0"/>
              <w:keepLines w:val="0"/>
              <w:widowControl w:val="0"/>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zh-CN"/>
              </w:rPr>
            </w:pPr>
            <w:r>
              <w:rPr>
                <w:rFonts w:hint="default" w:ascii="Arial" w:hAnsi="Arial" w:eastAsia="MS Mincho" w:cs="Arial"/>
                <w:kern w:val="0"/>
                <w:sz w:val="18"/>
                <w:szCs w:val="18"/>
                <w:lang w:val="en-GB"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Arial"/>
                <w:sz w:val="18"/>
                <w:szCs w:val="18"/>
                <w:lang w:val="en-GB" w:eastAsia="zh-CN" w:bidi="ar-SA"/>
              </w:rPr>
              <w:t>Note: Eventual performance comparison with the benchmark release and drawing SI conclusions should be based on realistic DL channel estimation</w:t>
            </w:r>
            <w:r>
              <w:rPr>
                <w:rFonts w:hint="default" w:ascii="Arial" w:hAnsi="Arial" w:eastAsia="MS Mincho" w:cs="Times New Roman"/>
                <w:sz w:val="18"/>
                <w:szCs w:val="20"/>
                <w:lang w:val="en-GB" w:eastAsia="en-US"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keepNext/>
              <w:keepLines/>
              <w:widowControl/>
              <w:suppressLineNumbers w:val="0"/>
              <w:spacing w:before="0" w:beforeAutospacing="0" w:after="0" w:afterAutospacing="0"/>
              <w:ind w:left="0" w:right="0"/>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Rank per UE</w:t>
            </w:r>
          </w:p>
        </w:tc>
        <w:tc>
          <w:tcPr>
            <w:tcW w:w="5621" w:type="dxa"/>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Rank 1-4. Companies are encouraged to report the Rank number, and whether/how rank adaptation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5" w:type="dxa"/>
            <w:gridSpan w:val="2"/>
          </w:tcPr>
          <w:p>
            <w:pPr>
              <w:keepNext/>
              <w:keepLines/>
              <w:widowControl/>
              <w:suppressLineNumbers w:val="0"/>
              <w:spacing w:before="0" w:beforeAutospacing="0" w:after="0" w:afterAutospacing="0"/>
              <w:ind w:left="0" w:right="0"/>
              <w:jc w:val="left"/>
              <w:rPr>
                <w:rFonts w:hint="default" w:ascii="Arial" w:hAnsi="Arial" w:eastAsia="MS Mincho" w:cs="Times New Roman"/>
                <w:sz w:val="18"/>
                <w:szCs w:val="20"/>
                <w:lang w:val="en-GB" w:eastAsia="en-US" w:bidi="ar-SA"/>
              </w:rPr>
            </w:pPr>
            <w:r>
              <w:rPr>
                <w:rFonts w:hint="default" w:ascii="Arial" w:hAnsi="Arial" w:eastAsia="MS Mincho" w:cs="Times New Roman"/>
                <w:sz w:val="18"/>
                <w:szCs w:val="20"/>
                <w:lang w:val="en-GB" w:eastAsia="en-US" w:bidi="ar-SA"/>
              </w:rPr>
              <w:t>Note: 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pPr>
        <w:rPr>
          <w:rFonts w:hint="default"/>
          <w:strike/>
          <w:dstrike w:val="0"/>
          <w:lang w:val="en-US" w:eastAsia="zh-CN"/>
        </w:rPr>
      </w:pPr>
    </w:p>
    <w:p>
      <w:pPr>
        <w:rPr>
          <w:rFonts w:hint="default"/>
          <w:b/>
          <w:bCs/>
          <w:i/>
          <w:iCs/>
          <w:strike w:val="0"/>
          <w:dstrike w:val="0"/>
          <w:szCs w:val="21"/>
          <w:lang w:val="en-US" w:eastAsia="zh-CN"/>
        </w:rPr>
      </w:pPr>
      <w:r>
        <w:rPr>
          <w:rFonts w:hint="eastAsia"/>
          <w:b/>
          <w:bCs/>
          <w:i/>
          <w:iCs/>
          <w:strike w:val="0"/>
          <w:dstrike w:val="0"/>
          <w:szCs w:val="21"/>
          <w:lang w:val="en-US" w:eastAsia="zh-CN"/>
        </w:rPr>
        <w:t>Observation 1. CDL channel model is still discussed for Rel-19 work item in the RAN plenary.</w:t>
      </w:r>
    </w:p>
    <w:p>
      <w:pPr>
        <w:rPr>
          <w:rFonts w:hint="default"/>
          <w:lang w:val="en-US" w:eastAsia="zh-CN"/>
        </w:rPr>
      </w:pPr>
      <w:r>
        <w:rPr>
          <w:rFonts w:hint="eastAsia"/>
          <w:b/>
          <w:bCs/>
          <w:i/>
          <w:iCs/>
          <w:strike w:val="0"/>
          <w:dstrike w:val="0"/>
          <w:szCs w:val="21"/>
          <w:lang w:val="en-US" w:eastAsia="zh-CN"/>
        </w:rPr>
        <w:t>Proposal 2. Table 6.2.1-2 in TS 38.843 can be used as a reference, more detail parameters need to align with RAN4 existing configuration.</w:t>
      </w:r>
    </w:p>
    <w:p>
      <w:pPr>
        <w:rPr>
          <w:rFonts w:hint="eastAsia" w:eastAsiaTheme="minorEastAsia"/>
          <w:b/>
          <w:sz w:val="21"/>
          <w:szCs w:val="21"/>
          <w:u w:val="single"/>
          <w:lang w:val="en-US" w:eastAsia="zh-CN"/>
        </w:rPr>
      </w:pPr>
      <w:r>
        <w:rPr>
          <w:rFonts w:hint="eastAsia" w:ascii="Times New Roman" w:hAnsi="Times New Roman" w:cs="Times New Roman"/>
          <w:b w:val="0"/>
          <w:bCs/>
          <w:szCs w:val="20"/>
          <w:u w:val="none"/>
          <w:lang w:val="en-US" w:eastAsia="zh-CN"/>
        </w:rPr>
        <w:t xml:space="preserve">On the other hand, </w:t>
      </w:r>
      <w:r>
        <w:rPr>
          <w:rFonts w:hint="eastAsia" w:cs="Times New Roman"/>
          <w:b w:val="0"/>
          <w:bCs/>
          <w:szCs w:val="20"/>
          <w:u w:val="none"/>
          <w:lang w:val="en-US" w:eastAsia="zh-CN"/>
        </w:rPr>
        <w:t>regarding AI model architecture parameters, we have the the following proposal.</w:t>
      </w:r>
    </w:p>
    <w:p>
      <w:pPr>
        <w:rPr>
          <w:rFonts w:hint="default"/>
          <w:lang w:val="en-US" w:eastAsia="zh-CN"/>
        </w:rPr>
      </w:pPr>
      <w:r>
        <w:rPr>
          <w:rFonts w:hint="eastAsia"/>
          <w:b/>
          <w:bCs/>
          <w:i/>
          <w:iCs/>
          <w:strike w:val="0"/>
          <w:dstrike w:val="0"/>
          <w:szCs w:val="21"/>
          <w:lang w:val="en-US" w:eastAsia="zh-CN"/>
        </w:rPr>
        <w:t>Proposal 3. Considering the following table parameters for model architecture.</w:t>
      </w:r>
    </w:p>
    <w:tbl>
      <w:tblPr>
        <w:tblStyle w:val="22"/>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Borders>
              <w:top w:val="single" w:color="auto" w:sz="4" w:space="0"/>
              <w:left w:val="single" w:color="auto" w:sz="4" w:space="0"/>
              <w:bottom w:val="single" w:color="auto" w:sz="4" w:space="0"/>
              <w:right w:val="single" w:color="auto" w:sz="4" w:space="0"/>
            </w:tcBorders>
            <w:shd w:val="clear" w:color="auto" w:fill="E7E6E6"/>
            <w:vAlign w:val="center"/>
          </w:tcPr>
          <w:p>
            <w:pPr>
              <w:keepNext w:val="0"/>
              <w:keepLines w:val="0"/>
              <w:widowControl/>
              <w:suppressLineNumbers w:val="0"/>
              <w:spacing w:before="0" w:beforeAutospacing="0" w:after="180" w:afterAutospacing="0"/>
              <w:ind w:left="0" w:right="0"/>
              <w:jc w:val="center"/>
              <w:rPr>
                <w:rFonts w:hint="default" w:eastAsia="宋体" w:cs="Times New Roman"/>
                <w:b/>
                <w:bCs/>
                <w:kern w:val="0"/>
                <w:sz w:val="20"/>
                <w:szCs w:val="20"/>
                <w:lang w:val="en-GB" w:eastAsia="en-US"/>
              </w:rPr>
            </w:pPr>
            <w:r>
              <w:rPr>
                <w:rFonts w:hint="default" w:eastAsia="宋体" w:cs="Times New Roman"/>
                <w:b/>
                <w:bCs/>
                <w:kern w:val="0"/>
                <w:sz w:val="20"/>
                <w:szCs w:val="20"/>
                <w:lang w:val="en-GB" w:eastAsia="en-US"/>
              </w:rPr>
              <w:t>Category</w:t>
            </w:r>
          </w:p>
        </w:tc>
        <w:tc>
          <w:tcPr>
            <w:tcW w:w="3117" w:type="dxa"/>
            <w:tcBorders>
              <w:top w:val="single" w:color="auto" w:sz="4" w:space="0"/>
              <w:left w:val="single" w:color="auto" w:sz="4" w:space="0"/>
              <w:bottom w:val="single" w:color="auto" w:sz="4" w:space="0"/>
              <w:right w:val="single" w:color="auto" w:sz="4" w:space="0"/>
            </w:tcBorders>
            <w:shd w:val="clear" w:color="auto" w:fill="E7E6E6"/>
            <w:vAlign w:val="center"/>
          </w:tcPr>
          <w:p>
            <w:pPr>
              <w:keepNext w:val="0"/>
              <w:keepLines w:val="0"/>
              <w:widowControl/>
              <w:suppressLineNumbers w:val="0"/>
              <w:spacing w:before="0" w:beforeAutospacing="0" w:after="180" w:afterAutospacing="0"/>
              <w:ind w:left="0" w:right="0"/>
              <w:jc w:val="center"/>
              <w:rPr>
                <w:rFonts w:hint="default" w:eastAsia="宋体" w:cs="Times New Roman"/>
                <w:b/>
                <w:bCs/>
                <w:kern w:val="0"/>
                <w:sz w:val="20"/>
                <w:szCs w:val="20"/>
                <w:lang w:val="en-GB" w:eastAsia="en-US"/>
              </w:rPr>
            </w:pPr>
            <w:r>
              <w:rPr>
                <w:rFonts w:hint="default" w:eastAsia="宋体" w:cs="Times New Roman"/>
                <w:b/>
                <w:bCs/>
                <w:kern w:val="0"/>
                <w:sz w:val="20"/>
                <w:szCs w:val="20"/>
                <w:lang w:val="en-GB" w:eastAsia="en-US"/>
              </w:rPr>
              <w:t>Parameter</w:t>
            </w:r>
          </w:p>
        </w:tc>
        <w:tc>
          <w:tcPr>
            <w:tcW w:w="3117" w:type="dxa"/>
            <w:tcBorders>
              <w:top w:val="single" w:color="auto" w:sz="4" w:space="0"/>
              <w:left w:val="single" w:color="auto" w:sz="4" w:space="0"/>
              <w:bottom w:val="single" w:color="auto" w:sz="4" w:space="0"/>
              <w:right w:val="single" w:color="auto" w:sz="4" w:space="0"/>
            </w:tcBorders>
            <w:shd w:val="clear" w:color="auto" w:fill="E7E6E6"/>
            <w:vAlign w:val="center"/>
          </w:tcPr>
          <w:p>
            <w:pPr>
              <w:keepNext w:val="0"/>
              <w:keepLines w:val="0"/>
              <w:widowControl/>
              <w:suppressLineNumbers w:val="0"/>
              <w:spacing w:before="0" w:beforeAutospacing="0" w:after="180" w:afterAutospacing="0"/>
              <w:ind w:left="0" w:right="0"/>
              <w:jc w:val="center"/>
              <w:rPr>
                <w:rFonts w:hint="default" w:eastAsia="宋体" w:cs="Times New Roman"/>
                <w:b/>
                <w:bCs/>
                <w:kern w:val="0"/>
                <w:sz w:val="20"/>
                <w:szCs w:val="20"/>
                <w:lang w:val="en-GB" w:eastAsia="en-US"/>
              </w:rPr>
            </w:pPr>
            <w:r>
              <w:rPr>
                <w:rFonts w:hint="default" w:eastAsia="宋体" w:cs="Times New Roman"/>
                <w:b/>
                <w:bCs/>
                <w:kern w:val="0"/>
                <w:sz w:val="20"/>
                <w:szCs w:val="20"/>
                <w:lang w:val="en-GB" w:eastAsia="en-US"/>
              </w:rPr>
              <w:t>Description/Examples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Fonts w:hint="default" w:eastAsia="宋体" w:cs="Times New Roman"/>
                <w:kern w:val="0"/>
                <w:sz w:val="20"/>
                <w:szCs w:val="20"/>
                <w:lang w:val="en-GB" w:eastAsia="en-US"/>
              </w:rPr>
              <w:t>Model architecture parameters</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Fonts w:hint="default" w:eastAsia="宋体" w:cs="Times New Roman"/>
                <w:kern w:val="0"/>
                <w:sz w:val="20"/>
                <w:szCs w:val="20"/>
                <w:lang w:val="en-GB" w:eastAsia="en-US"/>
              </w:rPr>
              <w:t>Model type</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Fonts w:hint="default" w:eastAsia="宋体" w:cs="Times New Roman"/>
                <w:kern w:val="0"/>
                <w:sz w:val="20"/>
                <w:szCs w:val="20"/>
                <w:lang w:val="en-GB" w:eastAsia="en-US"/>
              </w:rPr>
              <w:t>Transformer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continue"/>
            <w:tcBorders>
              <w:left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Style w:val="77"/>
                <w:rFonts w:hint="default"/>
                <w:sz w:val="21"/>
                <w:szCs w:val="21"/>
              </w:rPr>
              <w:t>input/output type</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rPr>
            </w:pPr>
            <w:r>
              <w:rPr>
                <w:rFonts w:hint="default" w:eastAsia="宋体" w:cs="Times New Roman"/>
                <w:kern w:val="0"/>
                <w:sz w:val="20"/>
                <w:szCs w:val="20"/>
              </w:rPr>
              <w:t>Eigenvector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continue"/>
            <w:tcBorders>
              <w:left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Style w:val="77"/>
                <w:rFonts w:hint="eastAsia"/>
                <w:sz w:val="21"/>
                <w:szCs w:val="21"/>
              </w:rPr>
              <w:t>training collaboration type</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US" w:eastAsia="zh-CN"/>
              </w:rPr>
            </w:pPr>
            <w:r>
              <w:rPr>
                <w:rFonts w:hint="eastAsia" w:cs="Times New Roman"/>
                <w:kern w:val="0"/>
                <w:sz w:val="20"/>
                <w:szCs w:val="20"/>
                <w:lang w:val="en-US" w:eastAsia="zh-CN"/>
              </w:rPr>
              <w:t>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continue"/>
            <w:tcBorders>
              <w:left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Style w:val="77"/>
                <w:rFonts w:hint="default"/>
                <w:sz w:val="21"/>
                <w:szCs w:val="21"/>
              </w:rPr>
              <w:t>latent message size</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eastAsia" w:eastAsia="宋体" w:cs="Times New Roman"/>
                <w:kern w:val="0"/>
                <w:sz w:val="20"/>
                <w:szCs w:val="20"/>
                <w:lang w:val="en-US" w:eastAsia="zh-CN"/>
              </w:rPr>
            </w:pPr>
            <w:r>
              <w:rPr>
                <w:rFonts w:hint="eastAsia"/>
                <w:szCs w:val="20"/>
              </w:rPr>
              <w:t>57</w:t>
            </w:r>
            <w:r>
              <w:rPr>
                <w:rFonts w:hint="eastAsia"/>
                <w:szCs w:val="20"/>
                <w:lang w:val="en-US" w:eastAsia="zh-CN"/>
              </w:rPr>
              <w:t xml:space="preserve">, </w:t>
            </w:r>
            <w:r>
              <w:rPr>
                <w:rFonts w:hint="eastAsia"/>
                <w:szCs w:val="20"/>
              </w:rPr>
              <w:t>104</w:t>
            </w:r>
            <w:r>
              <w:rPr>
                <w:rFonts w:hint="eastAsia"/>
                <w:szCs w:val="20"/>
                <w:lang w:val="en-US" w:eastAsia="zh-CN"/>
              </w:rPr>
              <w:t xml:space="preserve">, </w:t>
            </w:r>
            <w:r>
              <w:rPr>
                <w:rFonts w:hint="eastAsia"/>
                <w:szCs w:val="20"/>
              </w:rPr>
              <w:t>270bit</w:t>
            </w:r>
          </w:p>
        </w:tc>
      </w:tr>
    </w:tbl>
    <w:p>
      <w:pPr>
        <w:rPr>
          <w:rFonts w:hint="eastAsia" w:eastAsiaTheme="minorEastAsia"/>
          <w:b/>
          <w:sz w:val="21"/>
          <w:szCs w:val="21"/>
          <w:u w:val="single"/>
          <w:lang w:val="en-US" w:eastAsia="zh-CN"/>
        </w:rPr>
      </w:pPr>
    </w:p>
    <w:p>
      <w:pPr>
        <w:rPr>
          <w:rFonts w:hint="default" w:eastAsiaTheme="minorEastAsia"/>
          <w:b/>
          <w:sz w:val="21"/>
          <w:szCs w:val="21"/>
          <w:u w:val="single"/>
          <w:lang w:val="en-US" w:eastAsia="zh-CN"/>
        </w:rPr>
      </w:pPr>
      <w:r>
        <w:rPr>
          <w:rFonts w:hint="eastAsia" w:eastAsiaTheme="minorEastAsia"/>
          <w:b/>
          <w:sz w:val="21"/>
          <w:szCs w:val="21"/>
          <w:u w:val="single"/>
          <w:lang w:val="en-US" w:eastAsia="zh-CN"/>
        </w:rPr>
        <w:t>Option 4 for 2- side model</w:t>
      </w:r>
    </w:p>
    <w:p>
      <w:pPr>
        <w:rPr>
          <w:rFonts w:hint="default" w:ascii="Times New Roman" w:hAnsi="Times New Roman" w:cs="Times New Roman"/>
          <w:b w:val="0"/>
          <w:bCs/>
          <w:szCs w:val="20"/>
          <w:u w:val="none"/>
          <w:lang w:val="en-US" w:eastAsia="zh-CN"/>
        </w:rPr>
      </w:pPr>
      <w:r>
        <w:rPr>
          <w:rFonts w:hint="default" w:ascii="Times New Roman" w:hAnsi="Times New Roman" w:cs="Times New Roman"/>
          <w:b w:val="0"/>
          <w:bCs/>
          <w:szCs w:val="20"/>
          <w:u w:val="none"/>
          <w:lang w:val="en-US" w:eastAsia="zh-CN"/>
        </w:rPr>
        <w:t>At the previous meeting, RAN4 deliberated on potential candidate options for option 4, namely the means of achieving interoperability between DUT vendors and TE vendors.</w:t>
      </w:r>
      <w:r>
        <w:rPr>
          <w:rFonts w:hint="eastAsia" w:ascii="Times New Roman" w:hAnsi="Times New Roman" w:cs="Times New Roman"/>
          <w:b w:val="0"/>
          <w:bCs/>
          <w:szCs w:val="20"/>
          <w:u w:val="none"/>
          <w:lang w:val="en-US" w:eastAsia="zh-CN"/>
        </w:rPr>
        <w:t xml:space="preserve"> In TS 38.843, we defined partial knowledge in RAN4 specification for decoder to achieve interoperability. With regard to this partial knowledge of the decoder, it can bring more flexible approach</w:t>
      </w:r>
      <w:r>
        <w:rPr>
          <w:rFonts w:hint="eastAsia" w:cs="Times New Roman"/>
          <w:b w:val="0"/>
          <w:bCs/>
          <w:szCs w:val="20"/>
          <w:u w:val="none"/>
          <w:lang w:val="en-US" w:eastAsia="zh-CN"/>
        </w:rPr>
        <w:t>es</w:t>
      </w:r>
      <w:r>
        <w:rPr>
          <w:rFonts w:hint="eastAsia" w:ascii="Times New Roman" w:hAnsi="Times New Roman" w:cs="Times New Roman"/>
          <w:b w:val="0"/>
          <w:bCs/>
          <w:szCs w:val="20"/>
          <w:u w:val="none"/>
          <w:lang w:val="en-US" w:eastAsia="zh-CN"/>
        </w:rPr>
        <w:t xml:space="preserve"> for TE vendors. </w:t>
      </w:r>
      <w:r>
        <w:rPr>
          <w:rFonts w:hint="eastAsia" w:cs="Times New Roman"/>
          <w:b w:val="0"/>
          <w:bCs/>
          <w:szCs w:val="20"/>
          <w:u w:val="none"/>
          <w:lang w:val="en-US" w:eastAsia="zh-CN"/>
        </w:rPr>
        <w:t xml:space="preserve">To ensure interoperability, we need to define more knowledge between DUT and TE side. All candidate options as shown in following table.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3"/>
              <w:keepNext w:val="0"/>
              <w:keepLines w:val="0"/>
              <w:widowControl/>
              <w:numPr>
                <w:ilvl w:val="0"/>
                <w:numId w:val="8"/>
              </w:numPr>
              <w:suppressLineNumbers w:val="0"/>
              <w:overflowPunct/>
              <w:autoSpaceDE/>
              <w:autoSpaceDN/>
              <w:adjustRightInd/>
              <w:spacing w:before="0" w:beforeAutospacing="0" w:after="120" w:afterAutospacing="0"/>
              <w:ind w:left="420" w:leftChars="0" w:right="0" w:hanging="420" w:firstLineChars="0"/>
              <w:contextualSpacing w:val="0"/>
              <w:textAlignment w:val="auto"/>
              <w:rPr>
                <w:rFonts w:hint="default" w:eastAsia="宋体"/>
                <w:color w:val="auto"/>
                <w:sz w:val="21"/>
                <w:szCs w:val="21"/>
                <w:lang w:eastAsia="zh-CN"/>
              </w:rPr>
            </w:pPr>
            <w:r>
              <w:rPr>
                <w:rFonts w:hint="eastAsia" w:eastAsiaTheme="minorEastAsia"/>
                <w:color w:val="auto"/>
                <w:sz w:val="21"/>
                <w:szCs w:val="21"/>
                <w:lang w:eastAsia="ja-JP"/>
              </w:rPr>
              <w:t>Option 1: dataset based</w:t>
            </w:r>
          </w:p>
          <w:p>
            <w:pPr>
              <w:pStyle w:val="33"/>
              <w:keepNext w:val="0"/>
              <w:keepLines w:val="0"/>
              <w:widowControl/>
              <w:numPr>
                <w:ilvl w:val="0"/>
                <w:numId w:val="8"/>
              </w:numPr>
              <w:suppressLineNumbers w:val="0"/>
              <w:overflowPunct/>
              <w:autoSpaceDE/>
              <w:autoSpaceDN/>
              <w:adjustRightInd/>
              <w:spacing w:before="0" w:beforeAutospacing="0" w:after="120" w:afterAutospacing="0"/>
              <w:ind w:left="420" w:leftChars="0" w:right="0" w:hanging="420" w:firstLineChars="0"/>
              <w:contextualSpacing w:val="0"/>
              <w:textAlignment w:val="auto"/>
              <w:rPr>
                <w:rFonts w:hint="default" w:eastAsiaTheme="minorEastAsia"/>
                <w:color w:val="auto"/>
                <w:sz w:val="21"/>
                <w:szCs w:val="21"/>
                <w:lang w:val="en-US" w:eastAsia="zh-CN"/>
              </w:rPr>
            </w:pPr>
            <w:r>
              <w:rPr>
                <w:rFonts w:hint="eastAsia" w:eastAsiaTheme="minorEastAsia"/>
                <w:color w:val="auto"/>
                <w:sz w:val="21"/>
                <w:szCs w:val="21"/>
                <w:lang w:eastAsia="ja-JP"/>
              </w:rPr>
              <w:t>Option 2: aggregated data set</w:t>
            </w:r>
          </w:p>
          <w:p>
            <w:pPr>
              <w:pStyle w:val="33"/>
              <w:keepNext w:val="0"/>
              <w:keepLines w:val="0"/>
              <w:widowControl/>
              <w:numPr>
                <w:ilvl w:val="0"/>
                <w:numId w:val="8"/>
              </w:numPr>
              <w:suppressLineNumbers w:val="0"/>
              <w:overflowPunct/>
              <w:autoSpaceDE/>
              <w:autoSpaceDN/>
              <w:adjustRightInd/>
              <w:spacing w:before="0" w:beforeAutospacing="0" w:after="120" w:afterAutospacing="0"/>
              <w:ind w:left="420" w:leftChars="0" w:right="0" w:hanging="420" w:firstLineChars="0"/>
              <w:contextualSpacing w:val="0"/>
              <w:textAlignment w:val="auto"/>
              <w:rPr>
                <w:rFonts w:hint="default" w:cs="Times New Roman"/>
                <w:kern w:val="2"/>
                <w:sz w:val="21"/>
                <w:vertAlign w:val="baseline"/>
                <w:lang w:val="en-US" w:eastAsia="zh-CN" w:bidi="ar-SA"/>
              </w:rPr>
            </w:pPr>
            <w:r>
              <w:rPr>
                <w:rFonts w:hint="eastAsia" w:cs="Times New Roman"/>
                <w:kern w:val="2"/>
                <w:sz w:val="21"/>
                <w:vertAlign w:val="baseline"/>
                <w:lang w:val="en-US" w:eastAsia="zh-CN" w:bidi="ar-SA"/>
              </w:rPr>
              <w:t xml:space="preserve">Option 3: </w:t>
            </w:r>
            <w:r>
              <w:rPr>
                <w:rFonts w:hint="default" w:cs="Times New Roman"/>
                <w:kern w:val="2"/>
                <w:sz w:val="21"/>
                <w:vertAlign w:val="baseline"/>
                <w:lang w:val="en-US" w:eastAsia="zh-CN" w:bidi="ar-SA"/>
              </w:rPr>
              <w:t>Model structure/architecture based</w:t>
            </w:r>
          </w:p>
          <w:p>
            <w:pPr>
              <w:pStyle w:val="33"/>
              <w:keepNext w:val="0"/>
              <w:keepLines w:val="0"/>
              <w:widowControl/>
              <w:numPr>
                <w:ilvl w:val="0"/>
                <w:numId w:val="8"/>
              </w:numPr>
              <w:suppressLineNumbers w:val="0"/>
              <w:overflowPunct/>
              <w:autoSpaceDE/>
              <w:autoSpaceDN/>
              <w:adjustRightInd/>
              <w:spacing w:before="0" w:beforeAutospacing="0" w:after="120" w:afterAutospacing="0"/>
              <w:ind w:left="420" w:leftChars="0" w:right="0" w:hanging="420" w:firstLineChars="0"/>
              <w:contextualSpacing w:val="0"/>
              <w:textAlignment w:val="auto"/>
              <w:rPr>
                <w:rFonts w:hint="default" w:cs="Times New Roman"/>
                <w:kern w:val="2"/>
                <w:sz w:val="21"/>
                <w:vertAlign w:val="baseline"/>
                <w:lang w:val="en-US" w:eastAsia="zh-CN" w:bidi="ar-SA"/>
              </w:rPr>
            </w:pPr>
            <w:r>
              <w:rPr>
                <w:rFonts w:hint="default" w:cs="Times New Roman"/>
                <w:kern w:val="2"/>
                <w:sz w:val="21"/>
                <w:vertAlign w:val="baseline"/>
                <w:lang w:val="en-US" w:eastAsia="zh-CN" w:bidi="ar-SA"/>
              </w:rPr>
              <w:t>Option 4: Reference encoder</w:t>
            </w:r>
          </w:p>
          <w:p>
            <w:pPr>
              <w:pStyle w:val="33"/>
              <w:keepNext w:val="0"/>
              <w:keepLines w:val="0"/>
              <w:widowControl/>
              <w:numPr>
                <w:ilvl w:val="0"/>
                <w:numId w:val="8"/>
              </w:numPr>
              <w:suppressLineNumbers w:val="0"/>
              <w:overflowPunct/>
              <w:autoSpaceDE/>
              <w:autoSpaceDN/>
              <w:adjustRightInd/>
              <w:spacing w:before="0" w:beforeAutospacing="0" w:after="120" w:afterAutospacing="0"/>
              <w:ind w:left="420" w:leftChars="0" w:right="0" w:hanging="420" w:firstLineChars="0"/>
              <w:contextualSpacing w:val="0"/>
              <w:textAlignment w:val="auto"/>
              <w:rPr>
                <w:rFonts w:hint="default" w:cs="Times New Roman"/>
                <w:kern w:val="2"/>
                <w:sz w:val="21"/>
                <w:vertAlign w:val="baseline"/>
                <w:lang w:val="en-US" w:eastAsia="zh-CN" w:bidi="ar-SA"/>
              </w:rPr>
            </w:pPr>
            <w:r>
              <w:rPr>
                <w:rFonts w:hint="default" w:cs="Times New Roman"/>
                <w:kern w:val="2"/>
                <w:sz w:val="21"/>
                <w:vertAlign w:val="baseline"/>
                <w:lang w:val="en-US" w:eastAsia="zh-CN" w:bidi="ar-SA"/>
              </w:rPr>
              <w:t>Option 5: Other – “hybrid”</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For above options, we want to give some analysis form our side. Firstly, if RAN4 standardizes a dataset, which can be derived from reference encoder/decoder according generation procedure. And reference encoder/ decoder is also full defined in RAN4 specification. DUT vendor and TE vendor could use the dataset to train AI/ML model, e.g. encoder and decoder models. A TE vendor could use dataset and partial knowledge to train their own encoder and decocer. A DUT vendor also could use dataset and partial knowledge to design their own encoder and decoder. DUT vendor and TE vendor can guarantee the better performance on their side.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As mentioned before, RAN4</w:t>
      </w:r>
      <w:r>
        <w:rPr>
          <w:rFonts w:hint="default" w:cs="Times New Roman"/>
          <w:kern w:val="2"/>
          <w:sz w:val="21"/>
          <w:lang w:val="en-US" w:eastAsia="zh-CN" w:bidi="ar-SA"/>
        </w:rPr>
        <w:t>’</w:t>
      </w:r>
      <w:r>
        <w:rPr>
          <w:rFonts w:hint="eastAsia" w:cs="Times New Roman"/>
          <w:kern w:val="2"/>
          <w:sz w:val="21"/>
          <w:lang w:val="en-US" w:eastAsia="zh-CN" w:bidi="ar-SA"/>
        </w:rPr>
        <w:t xml:space="preserve">s motivation is to achieve interoperability, which means RAN4 must guarantee that any encoder paired with any TE decoder should result in the same performance. In other words, TE decoder should be paired with any DUT decoder during the test.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However, different DUT vendors may have different model types, even if we have a standardized dataset, there are still some difficulties to guarantee the same performance between different DUT and different TE vendors. </w:t>
      </w:r>
    </w:p>
    <w:p>
      <w:pPr>
        <w:widowControl w:val="0"/>
        <w:spacing w:beforeLines="100" w:afterLines="0" w:line="240" w:lineRule="auto"/>
        <w:jc w:val="center"/>
      </w:pPr>
      <w:r>
        <w:drawing>
          <wp:inline distT="0" distB="0" distL="114300" distR="114300">
            <wp:extent cx="4319905" cy="2665730"/>
            <wp:effectExtent l="0" t="0" r="825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4319905" cy="2665730"/>
                    </a:xfrm>
                    <a:prstGeom prst="rect">
                      <a:avLst/>
                    </a:prstGeom>
                    <a:noFill/>
                    <a:ln>
                      <a:noFill/>
                    </a:ln>
                  </pic:spPr>
                </pic:pic>
              </a:graphicData>
            </a:graphic>
          </wp:inline>
        </w:drawing>
      </w:r>
    </w:p>
    <w:p>
      <w:pPr>
        <w:widowControl w:val="0"/>
        <w:spacing w:beforeLines="100" w:afterLines="0" w:line="240" w:lineRule="auto"/>
        <w:jc w:val="center"/>
        <w:rPr>
          <w:rFonts w:hint="default" w:eastAsia="宋体"/>
          <w:lang w:val="en-US" w:eastAsia="zh-CN"/>
        </w:rPr>
      </w:pPr>
      <w:r>
        <w:rPr>
          <w:rFonts w:hint="eastAsia"/>
          <w:lang w:val="en-US" w:eastAsia="zh-CN"/>
        </w:rPr>
        <w:t>Figure 3. Dataset based for option 4 test decoder</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And for option 2 with aggregated dataset, which based on the contributions of all companies and capturing all aggregated datasets in the specification. Firstly, RAN4 can achieve some agreements for part of parameters, all companies can design encoder/ decoder pair contribute the dataset(decoder input, decoder output). DUT and TE vendors can use the aggregated datasets to train their own encoder/decoder model. Since partial knowledge is captured in RAN4 specification, DUT vendor can use it as a reference decoder model when training models. TE vendor can use partial knowledge and aggregated dataset to train the test decoder, even if partial knowledge provide more flexibility to TE vendor, but the aggregated dataset includes all of the DUT vendor</w:t>
      </w:r>
      <w:r>
        <w:rPr>
          <w:rFonts w:hint="default" w:cs="Times New Roman"/>
          <w:kern w:val="2"/>
          <w:sz w:val="21"/>
          <w:lang w:val="en-US" w:eastAsia="zh-CN" w:bidi="ar-SA"/>
        </w:rPr>
        <w:t>’</w:t>
      </w:r>
      <w:r>
        <w:rPr>
          <w:rFonts w:hint="eastAsia" w:cs="Times New Roman"/>
          <w:kern w:val="2"/>
          <w:sz w:val="21"/>
          <w:lang w:val="en-US" w:eastAsia="zh-CN" w:bidi="ar-SA"/>
        </w:rPr>
        <w:t xml:space="preserve">s training data, which depends on its own encoder model structure and parameters. Compared to option1 with dataset, we believe that the aggregated dataset has more possibility to achieve interoperability. </w:t>
      </w:r>
    </w:p>
    <w:p>
      <w:pPr>
        <w:widowControl w:val="0"/>
        <w:spacing w:beforeLines="100" w:afterLines="0" w:line="240" w:lineRule="auto"/>
        <w:jc w:val="center"/>
      </w:pPr>
      <w:r>
        <w:drawing>
          <wp:inline distT="0" distB="0" distL="114300" distR="114300">
            <wp:extent cx="4135755" cy="2469515"/>
            <wp:effectExtent l="0" t="0" r="9525"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135755" cy="2469515"/>
                    </a:xfrm>
                    <a:prstGeom prst="rect">
                      <a:avLst/>
                    </a:prstGeom>
                    <a:noFill/>
                    <a:ln>
                      <a:noFill/>
                    </a:ln>
                  </pic:spPr>
                </pic:pic>
              </a:graphicData>
            </a:graphic>
          </wp:inline>
        </w:drawing>
      </w:r>
    </w:p>
    <w:p>
      <w:pPr>
        <w:widowControl w:val="0"/>
        <w:spacing w:beforeLines="100" w:afterLines="0" w:line="240" w:lineRule="auto"/>
        <w:jc w:val="center"/>
        <w:rPr>
          <w:rFonts w:hint="default"/>
          <w:lang w:val="en-US" w:eastAsia="zh-CN"/>
        </w:rPr>
      </w:pPr>
      <w:r>
        <w:rPr>
          <w:rFonts w:hint="eastAsia"/>
          <w:lang w:val="en-US" w:eastAsia="zh-CN"/>
        </w:rPr>
        <w:t>Figure 4. Aggregated dataset based for option 4 test decoder</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If RAN4 standardizes reference encoder, whether still need encoder input and output. DUT vendor can train encoder based on reference decoder. Also TE vendor can use reference to train decoder model. However, different companies could have different implementations for dataset collection. Different channel estimation methods(e.g. LS, MMSE) will produce different channel information. Also different pre-processing methods (e.g. </w:t>
      </w:r>
      <w:r>
        <w:rPr>
          <w:rStyle w:val="77"/>
        </w:rPr>
        <w:t>eigenvectors, raw channel matrix</w:t>
      </w:r>
      <w:r>
        <w:rPr>
          <w:rFonts w:hint="eastAsia" w:cs="Times New Roman"/>
          <w:kern w:val="2"/>
          <w:sz w:val="21"/>
          <w:lang w:val="en-US" w:eastAsia="zh-CN" w:bidi="ar-SA"/>
        </w:rPr>
        <w:t>) may have different input types. It</w:t>
      </w:r>
      <w:r>
        <w:rPr>
          <w:rFonts w:hint="default" w:cs="Times New Roman"/>
          <w:kern w:val="2"/>
          <w:sz w:val="21"/>
          <w:lang w:val="en-US" w:eastAsia="zh-CN" w:bidi="ar-SA"/>
        </w:rPr>
        <w:t>’</w:t>
      </w:r>
      <w:r>
        <w:rPr>
          <w:rFonts w:hint="eastAsia" w:cs="Times New Roman"/>
          <w:kern w:val="2"/>
          <w:sz w:val="21"/>
          <w:lang w:val="en-US" w:eastAsia="zh-CN" w:bidi="ar-SA"/>
        </w:rPr>
        <w:t xml:space="preserve">s difficult to guarantee the same performance between any DUT and TE vendors. </w:t>
      </w:r>
    </w:p>
    <w:p>
      <w:pPr>
        <w:widowControl w:val="0"/>
        <w:spacing w:beforeLines="100" w:afterLines="0" w:line="240" w:lineRule="auto"/>
        <w:jc w:val="both"/>
        <w:rPr>
          <w:rFonts w:hint="eastAsia" w:cs="Times New Roman"/>
          <w:kern w:val="2"/>
          <w:sz w:val="21"/>
          <w:lang w:val="en-US" w:eastAsia="zh-CN" w:bidi="ar-SA"/>
        </w:rPr>
      </w:pPr>
      <w:r>
        <w:rPr>
          <w:rFonts w:hint="default" w:cs="Times New Roman"/>
          <w:kern w:val="2"/>
          <w:sz w:val="21"/>
          <w:lang w:val="en-US" w:eastAsia="zh-CN" w:bidi="ar-SA"/>
        </w:rPr>
        <w:t xml:space="preserve">Interoperability is difficult </w:t>
      </w:r>
      <w:r>
        <w:rPr>
          <w:rFonts w:hint="eastAsia" w:cs="Times New Roman"/>
          <w:kern w:val="2"/>
          <w:sz w:val="21"/>
          <w:lang w:val="en-US" w:eastAsia="zh-CN" w:bidi="ar-SA"/>
        </w:rPr>
        <w:t xml:space="preserve">to achieve </w:t>
      </w:r>
      <w:r>
        <w:rPr>
          <w:rFonts w:hint="default" w:cs="Times New Roman"/>
          <w:kern w:val="2"/>
          <w:sz w:val="21"/>
          <w:lang w:val="en-US" w:eastAsia="zh-CN" w:bidi="ar-SA"/>
        </w:rPr>
        <w:t xml:space="preserve">due to </w:t>
      </w:r>
      <w:r>
        <w:rPr>
          <w:rFonts w:hint="eastAsia" w:cs="Times New Roman"/>
          <w:kern w:val="2"/>
          <w:sz w:val="21"/>
          <w:lang w:val="en-US" w:eastAsia="zh-CN" w:bidi="ar-SA"/>
        </w:rPr>
        <w:t xml:space="preserve">only </w:t>
      </w:r>
      <w:r>
        <w:rPr>
          <w:rFonts w:hint="default" w:cs="Times New Roman"/>
          <w:kern w:val="2"/>
          <w:sz w:val="21"/>
          <w:lang w:val="en-US" w:eastAsia="zh-CN" w:bidi="ar-SA"/>
        </w:rPr>
        <w:t>standardi</w:t>
      </w:r>
      <w:r>
        <w:rPr>
          <w:rFonts w:hint="eastAsia" w:cs="Times New Roman"/>
          <w:kern w:val="2"/>
          <w:sz w:val="21"/>
          <w:lang w:val="en-US" w:eastAsia="zh-CN" w:bidi="ar-SA"/>
        </w:rPr>
        <w:t>z</w:t>
      </w:r>
      <w:r>
        <w:rPr>
          <w:rFonts w:hint="default" w:cs="Times New Roman"/>
          <w:kern w:val="2"/>
          <w:sz w:val="21"/>
          <w:lang w:val="en-US" w:eastAsia="zh-CN" w:bidi="ar-SA"/>
        </w:rPr>
        <w:t>ed reference encoders</w:t>
      </w:r>
      <w:r>
        <w:rPr>
          <w:rFonts w:hint="eastAsia" w:cs="Times New Roman"/>
          <w:kern w:val="2"/>
          <w:sz w:val="21"/>
          <w:lang w:val="en-US" w:eastAsia="zh-CN" w:bidi="ar-SA"/>
        </w:rPr>
        <w:t xml:space="preserve">. In addition, input dataset or output latent can be considered as candidate options. Our understanding is that if RAN4 standardizes the latent message, there are still some aspects that need to be clarified. The key point is whether latent message refers to before or after quantization. If the latent message is provided before the quantization, RAN4 needs to clarify which quantization method is used (e.g. scalar or vector). Because different quantization methods can have different feedback overhead and quantization principle. </w:t>
      </w:r>
    </w:p>
    <w:p>
      <w:pPr>
        <w:widowControl w:val="0"/>
        <w:spacing w:beforeLines="100" w:afterLines="0" w:line="240" w:lineRule="auto"/>
        <w:jc w:val="center"/>
      </w:pPr>
      <w:r>
        <w:drawing>
          <wp:inline distT="0" distB="0" distL="114300" distR="114300">
            <wp:extent cx="4632325" cy="2738755"/>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4632325" cy="2738755"/>
                    </a:xfrm>
                    <a:prstGeom prst="rect">
                      <a:avLst/>
                    </a:prstGeom>
                    <a:noFill/>
                    <a:ln>
                      <a:noFill/>
                    </a:ln>
                  </pic:spPr>
                </pic:pic>
              </a:graphicData>
            </a:graphic>
          </wp:inline>
        </w:drawing>
      </w:r>
    </w:p>
    <w:p>
      <w:pPr>
        <w:widowControl w:val="0"/>
        <w:spacing w:beforeLines="100" w:afterLines="0" w:line="240" w:lineRule="auto"/>
        <w:jc w:val="center"/>
        <w:rPr>
          <w:rFonts w:hint="default" w:cs="Times New Roman"/>
          <w:kern w:val="2"/>
          <w:sz w:val="21"/>
          <w:lang w:val="en-US" w:eastAsia="zh-CN" w:bidi="ar-SA"/>
        </w:rPr>
      </w:pPr>
      <w:r>
        <w:rPr>
          <w:rFonts w:hint="eastAsia"/>
          <w:lang w:val="en-US" w:eastAsia="zh-CN"/>
        </w:rPr>
        <w:t>Figure 5. Reference encoder and dataset based for option 4 test decoder</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In addition, if RAN4 standardizes dataset, input dataset and reference encoder need to capture in RAN4 specification. TE vendor can use dataset to train test decoder model. During the test, the test decoder can be paired with any DUT encoder to achieve the same performance. </w:t>
      </w:r>
    </w:p>
    <w:p>
      <w:pPr>
        <w:rPr>
          <w:rFonts w:hint="eastAsia"/>
          <w:b/>
          <w:bCs/>
          <w:i/>
          <w:iCs/>
          <w:szCs w:val="21"/>
          <w:lang w:val="en-US" w:eastAsia="zh-CN"/>
        </w:rPr>
      </w:pPr>
      <w:r>
        <w:rPr>
          <w:rFonts w:hint="eastAsia"/>
          <w:b/>
          <w:bCs/>
          <w:i/>
          <w:iCs/>
          <w:szCs w:val="21"/>
          <w:lang w:val="en-US" w:eastAsia="zh-CN"/>
        </w:rPr>
        <w:t>Observation 2. Further clarification is needed on whether the latent message is before or after quantization if RAN4 is consider standardizing the latent message.</w:t>
      </w:r>
    </w:p>
    <w:p>
      <w:pPr>
        <w:rPr>
          <w:rFonts w:hint="default" w:cs="Times New Roman"/>
          <w:kern w:val="2"/>
          <w:sz w:val="21"/>
          <w:lang w:val="en-US" w:eastAsia="zh-CN" w:bidi="ar-SA"/>
        </w:rPr>
      </w:pPr>
      <w:r>
        <w:rPr>
          <w:rFonts w:hint="eastAsia"/>
          <w:b/>
          <w:bCs/>
          <w:i/>
          <w:iCs/>
          <w:szCs w:val="21"/>
          <w:lang w:val="en-US" w:eastAsia="zh-CN"/>
        </w:rPr>
        <w:t xml:space="preserve">Proposal 4. To consider standardizing the reference encoder and dataset for option 4. </w:t>
      </w: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discussions on testability and interoperability issues for AI-CSI , The conclusions are:</w:t>
      </w:r>
    </w:p>
    <w:p>
      <w:pPr>
        <w:rPr>
          <w:rFonts w:hint="eastAsia"/>
          <w:bCs/>
          <w:kern w:val="0"/>
          <w:szCs w:val="21"/>
        </w:rPr>
      </w:pPr>
      <w:r>
        <w:rPr>
          <w:rFonts w:hint="eastAsia"/>
          <w:b/>
          <w:bCs/>
          <w:i/>
          <w:iCs/>
          <w:strike w:val="0"/>
          <w:dstrike w:val="0"/>
          <w:szCs w:val="21"/>
          <w:lang w:val="en-US" w:eastAsia="zh-CN"/>
        </w:rPr>
        <w:t>Observation 1. CDL channel model is still discussed for Rel-19 work item in the RAN plenary.</w:t>
      </w:r>
    </w:p>
    <w:p>
      <w:pPr>
        <w:rPr>
          <w:rFonts w:hint="eastAsia"/>
          <w:b/>
          <w:bCs/>
          <w:i/>
          <w:iCs/>
          <w:szCs w:val="21"/>
          <w:lang w:val="en-US" w:eastAsia="zh-CN"/>
        </w:rPr>
      </w:pPr>
      <w:r>
        <w:rPr>
          <w:rFonts w:hint="eastAsia"/>
          <w:b/>
          <w:bCs/>
          <w:i/>
          <w:iCs/>
          <w:szCs w:val="21"/>
          <w:lang w:val="en-US" w:eastAsia="zh-CN"/>
        </w:rPr>
        <w:t>Observation 2. Further clarification is needed on whether the latent message is before or after quantization if RAN4 is consider standardizing the latent message.</w:t>
      </w:r>
    </w:p>
    <w:p>
      <w:pPr>
        <w:rPr>
          <w:rFonts w:hint="default"/>
          <w:b/>
          <w:bCs/>
          <w:i/>
          <w:iCs/>
          <w:szCs w:val="21"/>
          <w:lang w:val="en-US" w:eastAsia="zh-CN"/>
        </w:rPr>
      </w:pPr>
      <w:r>
        <w:rPr>
          <w:rFonts w:hint="eastAsia"/>
          <w:b/>
          <w:bCs/>
          <w:i/>
          <w:iCs/>
          <w:szCs w:val="21"/>
          <w:lang w:val="en-US" w:eastAsia="zh-CN"/>
        </w:rPr>
        <w:t>Proposal 1. The encoder/decoder used in RAN4 discussions for simulation alignment/requirement derivation. It could be documented or captured in the specifications as necessary.</w:t>
      </w:r>
    </w:p>
    <w:p>
      <w:pPr>
        <w:rPr>
          <w:rFonts w:hint="default"/>
          <w:lang w:val="en-US" w:eastAsia="zh-CN"/>
        </w:rPr>
      </w:pPr>
      <w:r>
        <w:rPr>
          <w:rFonts w:hint="eastAsia"/>
          <w:b/>
          <w:bCs/>
          <w:i/>
          <w:iCs/>
          <w:strike w:val="0"/>
          <w:dstrike w:val="0"/>
          <w:szCs w:val="21"/>
          <w:lang w:val="en-US" w:eastAsia="zh-CN"/>
        </w:rPr>
        <w:t>Proposal 2. Table 6.2.1-2 in TS 38.843 can be used as a reference, more detail parameters need to align with RAN4 existing configuration.</w:t>
      </w:r>
    </w:p>
    <w:p>
      <w:pPr>
        <w:rPr>
          <w:rFonts w:hint="default"/>
          <w:lang w:val="en-US" w:eastAsia="zh-CN"/>
        </w:rPr>
      </w:pPr>
      <w:r>
        <w:rPr>
          <w:rFonts w:hint="eastAsia"/>
          <w:b/>
          <w:bCs/>
          <w:i/>
          <w:iCs/>
          <w:strike w:val="0"/>
          <w:dstrike w:val="0"/>
          <w:szCs w:val="21"/>
          <w:lang w:val="en-US" w:eastAsia="zh-CN"/>
        </w:rPr>
        <w:t>Proposal 3. Considering the following table parameters for model architecture.</w:t>
      </w:r>
    </w:p>
    <w:tbl>
      <w:tblPr>
        <w:tblStyle w:val="22"/>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Borders>
              <w:top w:val="single" w:color="auto" w:sz="4" w:space="0"/>
              <w:left w:val="single" w:color="auto" w:sz="4" w:space="0"/>
              <w:bottom w:val="single" w:color="auto" w:sz="4" w:space="0"/>
              <w:right w:val="single" w:color="auto" w:sz="4" w:space="0"/>
            </w:tcBorders>
            <w:shd w:val="clear" w:color="auto" w:fill="E7E6E6"/>
            <w:vAlign w:val="center"/>
          </w:tcPr>
          <w:p>
            <w:pPr>
              <w:keepNext w:val="0"/>
              <w:keepLines w:val="0"/>
              <w:widowControl/>
              <w:suppressLineNumbers w:val="0"/>
              <w:spacing w:before="0" w:beforeAutospacing="0" w:after="180" w:afterAutospacing="0"/>
              <w:ind w:left="0" w:right="0"/>
              <w:jc w:val="center"/>
              <w:rPr>
                <w:rFonts w:hint="default" w:eastAsia="宋体" w:cs="Times New Roman"/>
                <w:b/>
                <w:bCs/>
                <w:kern w:val="0"/>
                <w:sz w:val="20"/>
                <w:szCs w:val="20"/>
                <w:lang w:val="en-GB" w:eastAsia="en-US"/>
              </w:rPr>
            </w:pPr>
            <w:r>
              <w:rPr>
                <w:rFonts w:hint="default" w:eastAsia="宋体" w:cs="Times New Roman"/>
                <w:b/>
                <w:bCs/>
                <w:kern w:val="0"/>
                <w:sz w:val="20"/>
                <w:szCs w:val="20"/>
                <w:lang w:val="en-GB" w:eastAsia="en-US"/>
              </w:rPr>
              <w:t>Category</w:t>
            </w:r>
          </w:p>
        </w:tc>
        <w:tc>
          <w:tcPr>
            <w:tcW w:w="3117" w:type="dxa"/>
            <w:tcBorders>
              <w:top w:val="single" w:color="auto" w:sz="4" w:space="0"/>
              <w:left w:val="single" w:color="auto" w:sz="4" w:space="0"/>
              <w:bottom w:val="single" w:color="auto" w:sz="4" w:space="0"/>
              <w:right w:val="single" w:color="auto" w:sz="4" w:space="0"/>
            </w:tcBorders>
            <w:shd w:val="clear" w:color="auto" w:fill="E7E6E6"/>
            <w:vAlign w:val="center"/>
          </w:tcPr>
          <w:p>
            <w:pPr>
              <w:keepNext w:val="0"/>
              <w:keepLines w:val="0"/>
              <w:widowControl/>
              <w:suppressLineNumbers w:val="0"/>
              <w:spacing w:before="0" w:beforeAutospacing="0" w:after="180" w:afterAutospacing="0"/>
              <w:ind w:left="0" w:right="0"/>
              <w:jc w:val="center"/>
              <w:rPr>
                <w:rFonts w:hint="default" w:eastAsia="宋体" w:cs="Times New Roman"/>
                <w:b/>
                <w:bCs/>
                <w:kern w:val="0"/>
                <w:sz w:val="20"/>
                <w:szCs w:val="20"/>
                <w:lang w:val="en-GB" w:eastAsia="en-US"/>
              </w:rPr>
            </w:pPr>
            <w:r>
              <w:rPr>
                <w:rFonts w:hint="default" w:eastAsia="宋体" w:cs="Times New Roman"/>
                <w:b/>
                <w:bCs/>
                <w:kern w:val="0"/>
                <w:sz w:val="20"/>
                <w:szCs w:val="20"/>
                <w:lang w:val="en-GB" w:eastAsia="en-US"/>
              </w:rPr>
              <w:t>Parameter</w:t>
            </w:r>
          </w:p>
        </w:tc>
        <w:tc>
          <w:tcPr>
            <w:tcW w:w="3117" w:type="dxa"/>
            <w:tcBorders>
              <w:top w:val="single" w:color="auto" w:sz="4" w:space="0"/>
              <w:left w:val="single" w:color="auto" w:sz="4" w:space="0"/>
              <w:bottom w:val="single" w:color="auto" w:sz="4" w:space="0"/>
              <w:right w:val="single" w:color="auto" w:sz="4" w:space="0"/>
            </w:tcBorders>
            <w:shd w:val="clear" w:color="auto" w:fill="E7E6E6"/>
            <w:vAlign w:val="center"/>
          </w:tcPr>
          <w:p>
            <w:pPr>
              <w:keepNext w:val="0"/>
              <w:keepLines w:val="0"/>
              <w:widowControl/>
              <w:suppressLineNumbers w:val="0"/>
              <w:spacing w:before="0" w:beforeAutospacing="0" w:after="180" w:afterAutospacing="0"/>
              <w:ind w:left="0" w:right="0"/>
              <w:jc w:val="center"/>
              <w:rPr>
                <w:rFonts w:hint="default" w:eastAsia="宋体" w:cs="Times New Roman"/>
                <w:b/>
                <w:bCs/>
                <w:kern w:val="0"/>
                <w:sz w:val="20"/>
                <w:szCs w:val="20"/>
                <w:lang w:val="en-GB" w:eastAsia="en-US"/>
              </w:rPr>
            </w:pPr>
            <w:r>
              <w:rPr>
                <w:rFonts w:hint="default" w:eastAsia="宋体" w:cs="Times New Roman"/>
                <w:b/>
                <w:bCs/>
                <w:kern w:val="0"/>
                <w:sz w:val="20"/>
                <w:szCs w:val="20"/>
                <w:lang w:val="en-GB" w:eastAsia="en-US"/>
              </w:rPr>
              <w:t>Description/Examples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Fonts w:hint="default" w:eastAsia="宋体" w:cs="Times New Roman"/>
                <w:kern w:val="0"/>
                <w:sz w:val="20"/>
                <w:szCs w:val="20"/>
                <w:lang w:val="en-GB" w:eastAsia="en-US"/>
              </w:rPr>
              <w:t>Model architecture parameters</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Fonts w:hint="default" w:eastAsia="宋体" w:cs="Times New Roman"/>
                <w:kern w:val="0"/>
                <w:sz w:val="20"/>
                <w:szCs w:val="20"/>
                <w:lang w:val="en-GB" w:eastAsia="en-US"/>
              </w:rPr>
              <w:t>Model type</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Fonts w:hint="default" w:eastAsia="宋体" w:cs="Times New Roman"/>
                <w:kern w:val="0"/>
                <w:sz w:val="20"/>
                <w:szCs w:val="20"/>
                <w:lang w:val="en-GB" w:eastAsia="en-US"/>
              </w:rPr>
              <w:t>Transformer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continue"/>
            <w:tcBorders>
              <w:left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Style w:val="77"/>
                <w:rFonts w:hint="default"/>
                <w:sz w:val="21"/>
                <w:szCs w:val="21"/>
              </w:rPr>
              <w:t>input/output type</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rPr>
            </w:pPr>
            <w:r>
              <w:rPr>
                <w:rFonts w:hint="default" w:eastAsia="宋体" w:cs="Times New Roman"/>
                <w:kern w:val="0"/>
                <w:sz w:val="20"/>
                <w:szCs w:val="20"/>
              </w:rPr>
              <w:t>Eigenvector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continue"/>
            <w:tcBorders>
              <w:left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Style w:val="77"/>
                <w:rFonts w:hint="eastAsia"/>
                <w:sz w:val="21"/>
                <w:szCs w:val="21"/>
              </w:rPr>
              <w:t>training collaboration type</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US" w:eastAsia="zh-CN"/>
              </w:rPr>
            </w:pPr>
            <w:r>
              <w:rPr>
                <w:rFonts w:hint="eastAsia" w:cs="Times New Roman"/>
                <w:kern w:val="0"/>
                <w:sz w:val="20"/>
                <w:szCs w:val="20"/>
                <w:lang w:val="en-US" w:eastAsia="zh-CN"/>
              </w:rPr>
              <w:t>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continue"/>
            <w:tcBorders>
              <w:left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default" w:eastAsia="宋体" w:cs="Times New Roman"/>
                <w:kern w:val="0"/>
                <w:sz w:val="20"/>
                <w:szCs w:val="20"/>
                <w:lang w:val="en-GB" w:eastAsia="en-US"/>
              </w:rPr>
            </w:pPr>
            <w:r>
              <w:rPr>
                <w:rStyle w:val="77"/>
                <w:rFonts w:hint="default"/>
                <w:sz w:val="21"/>
                <w:szCs w:val="21"/>
              </w:rPr>
              <w:t>latent message size</w:t>
            </w:r>
          </w:p>
        </w:tc>
        <w:tc>
          <w:tcPr>
            <w:tcW w:w="31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180" w:afterAutospacing="0"/>
              <w:ind w:left="0" w:right="0"/>
              <w:jc w:val="center"/>
              <w:rPr>
                <w:rFonts w:hint="eastAsia" w:eastAsia="宋体" w:cs="Times New Roman"/>
                <w:kern w:val="0"/>
                <w:sz w:val="20"/>
                <w:szCs w:val="20"/>
                <w:lang w:val="en-US" w:eastAsia="zh-CN"/>
              </w:rPr>
            </w:pPr>
            <w:r>
              <w:rPr>
                <w:rFonts w:hint="eastAsia"/>
                <w:szCs w:val="20"/>
              </w:rPr>
              <w:t>57，104，270bit</w:t>
            </w:r>
          </w:p>
        </w:tc>
      </w:tr>
    </w:tbl>
    <w:p>
      <w:pPr>
        <w:rPr>
          <w:rFonts w:hint="eastAsia"/>
          <w:b/>
          <w:bCs/>
          <w:i/>
          <w:iCs/>
          <w:szCs w:val="21"/>
          <w:lang w:val="en-US" w:eastAsia="zh-CN"/>
        </w:rPr>
      </w:pPr>
    </w:p>
    <w:p>
      <w:pPr>
        <w:rPr>
          <w:rFonts w:hint="default" w:cs="Times New Roman"/>
          <w:kern w:val="2"/>
          <w:sz w:val="21"/>
          <w:lang w:val="en-US" w:eastAsia="zh-CN" w:bidi="ar-SA"/>
        </w:rPr>
      </w:pPr>
      <w:r>
        <w:rPr>
          <w:rFonts w:hint="eastAsia"/>
          <w:b/>
          <w:bCs/>
          <w:i/>
          <w:iCs/>
          <w:szCs w:val="21"/>
          <w:lang w:val="en-US" w:eastAsia="zh-CN"/>
        </w:rPr>
        <w:t xml:space="preserve">Proposal 4. To consider standardizing the reference encoder and dataset for option 4. </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R4-2406617, WF on AI/ML. Qualcomm Incorporated.</w:t>
      </w: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3GPP TS38.101-4.</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DBCB879"/>
    <w:multiLevelType w:val="singleLevel"/>
    <w:tmpl w:val="FDBCB879"/>
    <w:lvl w:ilvl="0" w:tentative="0">
      <w:start w:val="1"/>
      <w:numFmt w:val="bullet"/>
      <w:lvlText w:val=""/>
      <w:lvlJc w:val="left"/>
      <w:pPr>
        <w:ind w:left="420" w:hanging="420"/>
      </w:pPr>
      <w:rPr>
        <w:rFonts w:hint="default" w:ascii="Wingdings" w:hAnsi="Wingdings"/>
        <w:sz w:val="10"/>
        <w:szCs w:val="10"/>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4768C"/>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6515DC"/>
    <w:rsid w:val="057009A5"/>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2447E"/>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543B3B"/>
    <w:rsid w:val="09600FBD"/>
    <w:rsid w:val="0963672B"/>
    <w:rsid w:val="096843B7"/>
    <w:rsid w:val="09734970"/>
    <w:rsid w:val="098143BC"/>
    <w:rsid w:val="09862E2D"/>
    <w:rsid w:val="099E309A"/>
    <w:rsid w:val="099F436D"/>
    <w:rsid w:val="09BD407A"/>
    <w:rsid w:val="09DA0E26"/>
    <w:rsid w:val="09DC10BE"/>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DD1EC5"/>
    <w:rsid w:val="0CE26C42"/>
    <w:rsid w:val="0CE76B48"/>
    <w:rsid w:val="0CED4443"/>
    <w:rsid w:val="0CF62FDB"/>
    <w:rsid w:val="0CFB523A"/>
    <w:rsid w:val="0D2132FE"/>
    <w:rsid w:val="0D4B44A1"/>
    <w:rsid w:val="0D6E10F4"/>
    <w:rsid w:val="0D6E2620"/>
    <w:rsid w:val="0D704E21"/>
    <w:rsid w:val="0D753731"/>
    <w:rsid w:val="0D794A06"/>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240AB"/>
    <w:rsid w:val="0E2F216B"/>
    <w:rsid w:val="0E3352C6"/>
    <w:rsid w:val="0E5433AA"/>
    <w:rsid w:val="0E6271DF"/>
    <w:rsid w:val="0E81568A"/>
    <w:rsid w:val="0E942250"/>
    <w:rsid w:val="0E963344"/>
    <w:rsid w:val="0E9E6E00"/>
    <w:rsid w:val="0EA224A6"/>
    <w:rsid w:val="0EA40C1C"/>
    <w:rsid w:val="0ED50DDE"/>
    <w:rsid w:val="0EE41032"/>
    <w:rsid w:val="0EEC6F1D"/>
    <w:rsid w:val="0EF87542"/>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9666D"/>
    <w:rsid w:val="0FBE2A42"/>
    <w:rsid w:val="0FC17CCE"/>
    <w:rsid w:val="0FC424B9"/>
    <w:rsid w:val="0FD70565"/>
    <w:rsid w:val="0FEC680C"/>
    <w:rsid w:val="0FFD1BFC"/>
    <w:rsid w:val="0FFD3E3B"/>
    <w:rsid w:val="10007AD6"/>
    <w:rsid w:val="100E19D0"/>
    <w:rsid w:val="101007E8"/>
    <w:rsid w:val="10165F74"/>
    <w:rsid w:val="101C4A03"/>
    <w:rsid w:val="101D0C86"/>
    <w:rsid w:val="10431B36"/>
    <w:rsid w:val="104A023B"/>
    <w:rsid w:val="10505F3B"/>
    <w:rsid w:val="105A6448"/>
    <w:rsid w:val="106D2686"/>
    <w:rsid w:val="107C3E2C"/>
    <w:rsid w:val="107D41AE"/>
    <w:rsid w:val="108C2479"/>
    <w:rsid w:val="10C715C5"/>
    <w:rsid w:val="10D335EF"/>
    <w:rsid w:val="10DC1784"/>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00A87"/>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40403C"/>
    <w:rsid w:val="1355107F"/>
    <w:rsid w:val="135D4D2E"/>
    <w:rsid w:val="1366638D"/>
    <w:rsid w:val="136D76E8"/>
    <w:rsid w:val="137266E0"/>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00F48"/>
    <w:rsid w:val="1A8301C0"/>
    <w:rsid w:val="1A872248"/>
    <w:rsid w:val="1A880997"/>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1C33"/>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5F5386"/>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D426F"/>
    <w:rsid w:val="1E2F243E"/>
    <w:rsid w:val="1E455D19"/>
    <w:rsid w:val="1E591C14"/>
    <w:rsid w:val="1E595CAF"/>
    <w:rsid w:val="1E6607F9"/>
    <w:rsid w:val="1E805396"/>
    <w:rsid w:val="1E884F62"/>
    <w:rsid w:val="1E9D6342"/>
    <w:rsid w:val="1E9D6D15"/>
    <w:rsid w:val="1EA77730"/>
    <w:rsid w:val="1EC36E9D"/>
    <w:rsid w:val="1EDE4CB0"/>
    <w:rsid w:val="1EE25FDD"/>
    <w:rsid w:val="1EF5103F"/>
    <w:rsid w:val="1EFF5721"/>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976E7"/>
    <w:rsid w:val="20BF2AAC"/>
    <w:rsid w:val="20C849C7"/>
    <w:rsid w:val="20DF66D2"/>
    <w:rsid w:val="20EC3F2E"/>
    <w:rsid w:val="20EC7C3E"/>
    <w:rsid w:val="21050673"/>
    <w:rsid w:val="210548E9"/>
    <w:rsid w:val="21124D15"/>
    <w:rsid w:val="213E7119"/>
    <w:rsid w:val="21603012"/>
    <w:rsid w:val="21810744"/>
    <w:rsid w:val="21877F23"/>
    <w:rsid w:val="218D6EF5"/>
    <w:rsid w:val="2195668B"/>
    <w:rsid w:val="219707AA"/>
    <w:rsid w:val="21A130EA"/>
    <w:rsid w:val="21AD1197"/>
    <w:rsid w:val="21C267BF"/>
    <w:rsid w:val="21CB70A9"/>
    <w:rsid w:val="21CD6BCD"/>
    <w:rsid w:val="21CE6067"/>
    <w:rsid w:val="21CF439A"/>
    <w:rsid w:val="21D35770"/>
    <w:rsid w:val="21F00127"/>
    <w:rsid w:val="22045B97"/>
    <w:rsid w:val="22084E76"/>
    <w:rsid w:val="22120B8F"/>
    <w:rsid w:val="221D2FA3"/>
    <w:rsid w:val="221E028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DC4FC9"/>
    <w:rsid w:val="22E02C6E"/>
    <w:rsid w:val="22E04FF4"/>
    <w:rsid w:val="22E1121B"/>
    <w:rsid w:val="22EA4C70"/>
    <w:rsid w:val="22F75251"/>
    <w:rsid w:val="22F86F75"/>
    <w:rsid w:val="23131055"/>
    <w:rsid w:val="2316334C"/>
    <w:rsid w:val="233C6F76"/>
    <w:rsid w:val="234449F5"/>
    <w:rsid w:val="23536618"/>
    <w:rsid w:val="235A5E8C"/>
    <w:rsid w:val="23816932"/>
    <w:rsid w:val="23876361"/>
    <w:rsid w:val="23A9484E"/>
    <w:rsid w:val="23B32F98"/>
    <w:rsid w:val="23B84268"/>
    <w:rsid w:val="23CE3CE1"/>
    <w:rsid w:val="23D17D7B"/>
    <w:rsid w:val="23D36D91"/>
    <w:rsid w:val="23D65F44"/>
    <w:rsid w:val="23F70BA5"/>
    <w:rsid w:val="23F93D0D"/>
    <w:rsid w:val="24025806"/>
    <w:rsid w:val="2405417E"/>
    <w:rsid w:val="24096754"/>
    <w:rsid w:val="240B3ACA"/>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1A3E5D"/>
    <w:rsid w:val="2521546A"/>
    <w:rsid w:val="252B49E0"/>
    <w:rsid w:val="25734B61"/>
    <w:rsid w:val="2575555D"/>
    <w:rsid w:val="257851FD"/>
    <w:rsid w:val="258B6FDA"/>
    <w:rsid w:val="258F6BC4"/>
    <w:rsid w:val="25975923"/>
    <w:rsid w:val="259A3D0A"/>
    <w:rsid w:val="259C29DF"/>
    <w:rsid w:val="259F452A"/>
    <w:rsid w:val="25A95F3E"/>
    <w:rsid w:val="25BF6041"/>
    <w:rsid w:val="25C35718"/>
    <w:rsid w:val="25CF0252"/>
    <w:rsid w:val="25D0248E"/>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7047832"/>
    <w:rsid w:val="27204B5D"/>
    <w:rsid w:val="272F31A0"/>
    <w:rsid w:val="27342901"/>
    <w:rsid w:val="273D2762"/>
    <w:rsid w:val="27470B72"/>
    <w:rsid w:val="27513B3B"/>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7E4DE4"/>
    <w:rsid w:val="288A05DD"/>
    <w:rsid w:val="28937D89"/>
    <w:rsid w:val="28C96C14"/>
    <w:rsid w:val="28D53334"/>
    <w:rsid w:val="28E138E3"/>
    <w:rsid w:val="28E74216"/>
    <w:rsid w:val="28E87EE4"/>
    <w:rsid w:val="2903396A"/>
    <w:rsid w:val="29207566"/>
    <w:rsid w:val="29235EFC"/>
    <w:rsid w:val="292918ED"/>
    <w:rsid w:val="292B6BBE"/>
    <w:rsid w:val="29470364"/>
    <w:rsid w:val="294E766A"/>
    <w:rsid w:val="2978319A"/>
    <w:rsid w:val="2978571B"/>
    <w:rsid w:val="299752B2"/>
    <w:rsid w:val="2998751F"/>
    <w:rsid w:val="29A3014B"/>
    <w:rsid w:val="29A74CBD"/>
    <w:rsid w:val="29AE4BB2"/>
    <w:rsid w:val="29B01C34"/>
    <w:rsid w:val="29B1237D"/>
    <w:rsid w:val="29B16357"/>
    <w:rsid w:val="29BA0D88"/>
    <w:rsid w:val="29CF32B2"/>
    <w:rsid w:val="29DE15A2"/>
    <w:rsid w:val="29E66B13"/>
    <w:rsid w:val="29EF3680"/>
    <w:rsid w:val="29EF424E"/>
    <w:rsid w:val="29F62E74"/>
    <w:rsid w:val="29F93F5E"/>
    <w:rsid w:val="29FA7F26"/>
    <w:rsid w:val="2A0C61D3"/>
    <w:rsid w:val="2A0C677E"/>
    <w:rsid w:val="2A2036AC"/>
    <w:rsid w:val="2A35650F"/>
    <w:rsid w:val="2A405845"/>
    <w:rsid w:val="2A4D593F"/>
    <w:rsid w:val="2A62657E"/>
    <w:rsid w:val="2A6E31F8"/>
    <w:rsid w:val="2A8A2F9C"/>
    <w:rsid w:val="2AAC5A06"/>
    <w:rsid w:val="2ABB3D6F"/>
    <w:rsid w:val="2AC70B30"/>
    <w:rsid w:val="2ACC2AAF"/>
    <w:rsid w:val="2AD74744"/>
    <w:rsid w:val="2AD91AC2"/>
    <w:rsid w:val="2AE57C95"/>
    <w:rsid w:val="2AE752D9"/>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767DC"/>
    <w:rsid w:val="2D980DDC"/>
    <w:rsid w:val="2D987372"/>
    <w:rsid w:val="2DCE26BE"/>
    <w:rsid w:val="2DCE5F69"/>
    <w:rsid w:val="2DDD4F0A"/>
    <w:rsid w:val="2DF81E3E"/>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177244"/>
    <w:rsid w:val="313C313D"/>
    <w:rsid w:val="314E236F"/>
    <w:rsid w:val="315E0B07"/>
    <w:rsid w:val="31621F46"/>
    <w:rsid w:val="316E7AA7"/>
    <w:rsid w:val="316E7CA0"/>
    <w:rsid w:val="316E7DF0"/>
    <w:rsid w:val="317206BF"/>
    <w:rsid w:val="317932EA"/>
    <w:rsid w:val="317E5000"/>
    <w:rsid w:val="31A723A1"/>
    <w:rsid w:val="31B718F2"/>
    <w:rsid w:val="31B912B2"/>
    <w:rsid w:val="31D20051"/>
    <w:rsid w:val="31E11582"/>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21971"/>
    <w:rsid w:val="32DF351E"/>
    <w:rsid w:val="32E660DB"/>
    <w:rsid w:val="32EE5E41"/>
    <w:rsid w:val="32F40F87"/>
    <w:rsid w:val="32FD7C76"/>
    <w:rsid w:val="330C22FC"/>
    <w:rsid w:val="33134959"/>
    <w:rsid w:val="33247878"/>
    <w:rsid w:val="33465BE0"/>
    <w:rsid w:val="33540E5D"/>
    <w:rsid w:val="335A0521"/>
    <w:rsid w:val="335E7B11"/>
    <w:rsid w:val="3364318B"/>
    <w:rsid w:val="33691888"/>
    <w:rsid w:val="336A499A"/>
    <w:rsid w:val="33714830"/>
    <w:rsid w:val="33737F51"/>
    <w:rsid w:val="337964FF"/>
    <w:rsid w:val="337D34FB"/>
    <w:rsid w:val="337E7E0F"/>
    <w:rsid w:val="33AB157E"/>
    <w:rsid w:val="33AC3853"/>
    <w:rsid w:val="33B6494D"/>
    <w:rsid w:val="33B86AFE"/>
    <w:rsid w:val="33BF4199"/>
    <w:rsid w:val="33EF62BE"/>
    <w:rsid w:val="33FE62E7"/>
    <w:rsid w:val="340D25F6"/>
    <w:rsid w:val="340F5E5C"/>
    <w:rsid w:val="341B3576"/>
    <w:rsid w:val="34226B44"/>
    <w:rsid w:val="342B76C7"/>
    <w:rsid w:val="342C472B"/>
    <w:rsid w:val="34300B2E"/>
    <w:rsid w:val="343A1527"/>
    <w:rsid w:val="34447898"/>
    <w:rsid w:val="344E62FA"/>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5033D8D"/>
    <w:rsid w:val="350B42D5"/>
    <w:rsid w:val="350F6258"/>
    <w:rsid w:val="351622C7"/>
    <w:rsid w:val="351A603C"/>
    <w:rsid w:val="352821F6"/>
    <w:rsid w:val="35387F19"/>
    <w:rsid w:val="3539550B"/>
    <w:rsid w:val="353C7CFC"/>
    <w:rsid w:val="353F422D"/>
    <w:rsid w:val="356652C5"/>
    <w:rsid w:val="356678B4"/>
    <w:rsid w:val="3573649F"/>
    <w:rsid w:val="357E4B0A"/>
    <w:rsid w:val="35866D7F"/>
    <w:rsid w:val="358F6BDF"/>
    <w:rsid w:val="35925C72"/>
    <w:rsid w:val="35A26D98"/>
    <w:rsid w:val="35C0105B"/>
    <w:rsid w:val="35C06D50"/>
    <w:rsid w:val="35C12873"/>
    <w:rsid w:val="35D24294"/>
    <w:rsid w:val="35D85F6C"/>
    <w:rsid w:val="35FC0F9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783E0C"/>
    <w:rsid w:val="378229A7"/>
    <w:rsid w:val="3784394E"/>
    <w:rsid w:val="379425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1779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8E5120"/>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04606"/>
    <w:rsid w:val="3B2D1F45"/>
    <w:rsid w:val="3B307112"/>
    <w:rsid w:val="3B540533"/>
    <w:rsid w:val="3B5A2A22"/>
    <w:rsid w:val="3B632CFB"/>
    <w:rsid w:val="3B7804A3"/>
    <w:rsid w:val="3B8010C0"/>
    <w:rsid w:val="3B817CCD"/>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37748"/>
    <w:rsid w:val="3DB34E86"/>
    <w:rsid w:val="3DDB4033"/>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87BEA"/>
    <w:rsid w:val="403A489D"/>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4E7AE4"/>
    <w:rsid w:val="445E4DEE"/>
    <w:rsid w:val="44640994"/>
    <w:rsid w:val="446456BB"/>
    <w:rsid w:val="446B0434"/>
    <w:rsid w:val="4474746D"/>
    <w:rsid w:val="44756A66"/>
    <w:rsid w:val="447C30C1"/>
    <w:rsid w:val="447E4EBE"/>
    <w:rsid w:val="447F0CBA"/>
    <w:rsid w:val="44957F46"/>
    <w:rsid w:val="44994CF5"/>
    <w:rsid w:val="44DC46EB"/>
    <w:rsid w:val="44E95F5D"/>
    <w:rsid w:val="44F03F8F"/>
    <w:rsid w:val="44F14ECF"/>
    <w:rsid w:val="44FF3FEC"/>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05236"/>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8F6FAE"/>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61E50"/>
    <w:rsid w:val="48CB2583"/>
    <w:rsid w:val="48CC564D"/>
    <w:rsid w:val="48D429DD"/>
    <w:rsid w:val="48E01C77"/>
    <w:rsid w:val="48E22285"/>
    <w:rsid w:val="48E50D90"/>
    <w:rsid w:val="48FA15CC"/>
    <w:rsid w:val="49002A7B"/>
    <w:rsid w:val="491B63DF"/>
    <w:rsid w:val="491D63E9"/>
    <w:rsid w:val="49285E6A"/>
    <w:rsid w:val="492A068A"/>
    <w:rsid w:val="4932285C"/>
    <w:rsid w:val="493E2F78"/>
    <w:rsid w:val="4948613B"/>
    <w:rsid w:val="495217DF"/>
    <w:rsid w:val="4958367A"/>
    <w:rsid w:val="496E52F3"/>
    <w:rsid w:val="497F41A4"/>
    <w:rsid w:val="49814AF9"/>
    <w:rsid w:val="498A16CD"/>
    <w:rsid w:val="49A13EF6"/>
    <w:rsid w:val="49A33C27"/>
    <w:rsid w:val="49A750B5"/>
    <w:rsid w:val="49BE07DA"/>
    <w:rsid w:val="49C84AA0"/>
    <w:rsid w:val="49D7694D"/>
    <w:rsid w:val="49ED2797"/>
    <w:rsid w:val="4A0244D3"/>
    <w:rsid w:val="4A255046"/>
    <w:rsid w:val="4A28799C"/>
    <w:rsid w:val="4A2E1525"/>
    <w:rsid w:val="4A2E4DBF"/>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1D3051"/>
    <w:rsid w:val="4D277AC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BD1E5A"/>
    <w:rsid w:val="4EC50C90"/>
    <w:rsid w:val="4EDB58B2"/>
    <w:rsid w:val="4EE925CE"/>
    <w:rsid w:val="4EEF2E30"/>
    <w:rsid w:val="4EF24828"/>
    <w:rsid w:val="4EFE7F59"/>
    <w:rsid w:val="4F171C50"/>
    <w:rsid w:val="4F252466"/>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6DEA"/>
    <w:rsid w:val="50B16618"/>
    <w:rsid w:val="50BB6306"/>
    <w:rsid w:val="50DB62B4"/>
    <w:rsid w:val="50DD524F"/>
    <w:rsid w:val="50F83FF3"/>
    <w:rsid w:val="50F8688B"/>
    <w:rsid w:val="50FC4E36"/>
    <w:rsid w:val="5105169B"/>
    <w:rsid w:val="51062881"/>
    <w:rsid w:val="510861B3"/>
    <w:rsid w:val="510956BD"/>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05559"/>
    <w:rsid w:val="52272B85"/>
    <w:rsid w:val="523E09B5"/>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C0E6B"/>
    <w:rsid w:val="53123B04"/>
    <w:rsid w:val="53194965"/>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60B1622"/>
    <w:rsid w:val="56106284"/>
    <w:rsid w:val="562C1706"/>
    <w:rsid w:val="5632642A"/>
    <w:rsid w:val="56375B61"/>
    <w:rsid w:val="564944F4"/>
    <w:rsid w:val="564E5820"/>
    <w:rsid w:val="565E6D49"/>
    <w:rsid w:val="56630C00"/>
    <w:rsid w:val="567739D2"/>
    <w:rsid w:val="567B29ED"/>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C54C7F"/>
    <w:rsid w:val="57FC07D9"/>
    <w:rsid w:val="57FF6992"/>
    <w:rsid w:val="580F1B21"/>
    <w:rsid w:val="581B7E79"/>
    <w:rsid w:val="58500F22"/>
    <w:rsid w:val="58587379"/>
    <w:rsid w:val="586D57A3"/>
    <w:rsid w:val="586F2391"/>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E9525B"/>
    <w:rsid w:val="59FE5B32"/>
    <w:rsid w:val="5A0F7992"/>
    <w:rsid w:val="5A2E75CA"/>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C5103"/>
    <w:rsid w:val="5B460A9E"/>
    <w:rsid w:val="5B486DCE"/>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65D7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0E53"/>
    <w:rsid w:val="5CD8648B"/>
    <w:rsid w:val="5CDB2E8C"/>
    <w:rsid w:val="5CDB3358"/>
    <w:rsid w:val="5CED4E0C"/>
    <w:rsid w:val="5CEF1DC1"/>
    <w:rsid w:val="5CF94FAE"/>
    <w:rsid w:val="5D034EE9"/>
    <w:rsid w:val="5D0366E8"/>
    <w:rsid w:val="5D044FED"/>
    <w:rsid w:val="5D0A06B6"/>
    <w:rsid w:val="5D1307E8"/>
    <w:rsid w:val="5D1C3851"/>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4F1B95"/>
    <w:rsid w:val="5F683B6E"/>
    <w:rsid w:val="5F734541"/>
    <w:rsid w:val="5F875C0C"/>
    <w:rsid w:val="5F8F0B9E"/>
    <w:rsid w:val="5F8F267A"/>
    <w:rsid w:val="5F9271B7"/>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37223"/>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421EFD"/>
    <w:rsid w:val="61564B4F"/>
    <w:rsid w:val="615C5041"/>
    <w:rsid w:val="61613111"/>
    <w:rsid w:val="61635733"/>
    <w:rsid w:val="61705965"/>
    <w:rsid w:val="6182260C"/>
    <w:rsid w:val="61D43A2B"/>
    <w:rsid w:val="61FF316E"/>
    <w:rsid w:val="620D1D12"/>
    <w:rsid w:val="620F4BAD"/>
    <w:rsid w:val="621542CB"/>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45632E"/>
    <w:rsid w:val="646A0BCA"/>
    <w:rsid w:val="64746F5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45B16"/>
    <w:rsid w:val="66AA4BA8"/>
    <w:rsid w:val="66C955BD"/>
    <w:rsid w:val="66DC317D"/>
    <w:rsid w:val="66EB4314"/>
    <w:rsid w:val="670C6D27"/>
    <w:rsid w:val="670D67CE"/>
    <w:rsid w:val="67105BAB"/>
    <w:rsid w:val="6717041F"/>
    <w:rsid w:val="671B1631"/>
    <w:rsid w:val="67302DC3"/>
    <w:rsid w:val="674318B2"/>
    <w:rsid w:val="6746062E"/>
    <w:rsid w:val="67482028"/>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2410C"/>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E12DE8"/>
    <w:rsid w:val="6AF4047B"/>
    <w:rsid w:val="6AF805EA"/>
    <w:rsid w:val="6B1D68BE"/>
    <w:rsid w:val="6B2B0EFD"/>
    <w:rsid w:val="6B2C13E4"/>
    <w:rsid w:val="6B4B0A4C"/>
    <w:rsid w:val="6B50310B"/>
    <w:rsid w:val="6B5045E2"/>
    <w:rsid w:val="6B736A2E"/>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C46C99"/>
    <w:rsid w:val="6CD63FB3"/>
    <w:rsid w:val="6D056EA6"/>
    <w:rsid w:val="6D221E52"/>
    <w:rsid w:val="6D227835"/>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F14A0"/>
    <w:rsid w:val="6E635028"/>
    <w:rsid w:val="6E636A71"/>
    <w:rsid w:val="6E685B0A"/>
    <w:rsid w:val="6E695F11"/>
    <w:rsid w:val="6E73404A"/>
    <w:rsid w:val="6E7355AA"/>
    <w:rsid w:val="6E8C55BB"/>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7A62F8"/>
    <w:rsid w:val="6F975588"/>
    <w:rsid w:val="6FA629D4"/>
    <w:rsid w:val="6FA6727C"/>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34A90"/>
    <w:rsid w:val="70C6646C"/>
    <w:rsid w:val="70FC2D1E"/>
    <w:rsid w:val="71015D6B"/>
    <w:rsid w:val="71151975"/>
    <w:rsid w:val="71223933"/>
    <w:rsid w:val="71336A65"/>
    <w:rsid w:val="713B0E5B"/>
    <w:rsid w:val="71486F62"/>
    <w:rsid w:val="71511268"/>
    <w:rsid w:val="71545B37"/>
    <w:rsid w:val="71573E01"/>
    <w:rsid w:val="71702748"/>
    <w:rsid w:val="717F0007"/>
    <w:rsid w:val="71867894"/>
    <w:rsid w:val="719F7A78"/>
    <w:rsid w:val="71C7540C"/>
    <w:rsid w:val="71CB1BB9"/>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F1AC7"/>
    <w:rsid w:val="72E42AFA"/>
    <w:rsid w:val="72E85578"/>
    <w:rsid w:val="72EB270B"/>
    <w:rsid w:val="72EB4466"/>
    <w:rsid w:val="72FB1EA7"/>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0B01C3"/>
    <w:rsid w:val="74137154"/>
    <w:rsid w:val="74236DD6"/>
    <w:rsid w:val="74257F79"/>
    <w:rsid w:val="74273820"/>
    <w:rsid w:val="7427471C"/>
    <w:rsid w:val="742E3A0F"/>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07339"/>
    <w:rsid w:val="75752B04"/>
    <w:rsid w:val="75783839"/>
    <w:rsid w:val="758910BB"/>
    <w:rsid w:val="759558DF"/>
    <w:rsid w:val="75955DA9"/>
    <w:rsid w:val="75977910"/>
    <w:rsid w:val="759F2A35"/>
    <w:rsid w:val="75B00123"/>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04401"/>
    <w:rsid w:val="771B67DF"/>
    <w:rsid w:val="77451578"/>
    <w:rsid w:val="77552EF5"/>
    <w:rsid w:val="77692EA3"/>
    <w:rsid w:val="776C16FD"/>
    <w:rsid w:val="77806994"/>
    <w:rsid w:val="77825248"/>
    <w:rsid w:val="7785098B"/>
    <w:rsid w:val="77870D91"/>
    <w:rsid w:val="778A3229"/>
    <w:rsid w:val="779258CC"/>
    <w:rsid w:val="7794068F"/>
    <w:rsid w:val="77960EFC"/>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B96895"/>
    <w:rsid w:val="78C53485"/>
    <w:rsid w:val="78C7038D"/>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BE31CC"/>
    <w:rsid w:val="79CC3C1F"/>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8F1752"/>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142</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2024-05-13T11:53:57Z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